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57" w:rsidRPr="008F7657" w:rsidRDefault="008F7657" w:rsidP="008F7657">
      <w:pPr>
        <w:jc w:val="center"/>
        <w:rPr>
          <w:b/>
        </w:rPr>
      </w:pPr>
      <w:r w:rsidRPr="008F7657">
        <w:rPr>
          <w:b/>
          <w:bCs/>
        </w:rPr>
        <w:t xml:space="preserve">Forradalom, szabadságharc, emigráció (1848–49) </w:t>
      </w:r>
      <w:r w:rsidRPr="008F7657">
        <w:rPr>
          <w:b/>
        </w:rPr>
        <w:t>(BTTR263OMA-04)</w:t>
      </w:r>
    </w:p>
    <w:p w:rsidR="008F7657" w:rsidRPr="008F7657" w:rsidRDefault="008F7657" w:rsidP="008F7657">
      <w:pPr>
        <w:jc w:val="center"/>
      </w:pPr>
      <w:r w:rsidRPr="008F7657">
        <w:t>Csütörtök 12–14; 407/5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ind w:right="72"/>
        <w:jc w:val="both"/>
      </w:pPr>
      <w:r w:rsidRPr="008F7657">
        <w:t>1. Reformkor: a társadalmi reform útjai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Balázs György: </w:t>
      </w:r>
      <w:r w:rsidRPr="008F7657">
        <w:rPr>
          <w:i/>
        </w:rPr>
        <w:t>Érdekegyesítés – nemzetté válás</w:t>
      </w:r>
      <w:r w:rsidRPr="008F7657">
        <w:t xml:space="preserve"> Világosság 1983. 10. sz. 617–622.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Orosz István: </w:t>
      </w:r>
      <w:r w:rsidRPr="008F7657">
        <w:rPr>
          <w:i/>
        </w:rPr>
        <w:t>Az örökváltság eszméje és gyakorlata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Orosz István: </w:t>
      </w:r>
      <w:r w:rsidRPr="008F7657">
        <w:rPr>
          <w:i/>
        </w:rPr>
        <w:t>Széchenyi és kortársai</w:t>
      </w:r>
      <w:r w:rsidRPr="008F7657">
        <w:t xml:space="preserve"> Debrecen, 2000. 151–162.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Velkey</w:t>
      </w:r>
      <w:proofErr w:type="spellEnd"/>
      <w:r w:rsidRPr="008F7657">
        <w:t xml:space="preserve"> Ferenc: </w:t>
      </w:r>
      <w:r w:rsidRPr="008F7657">
        <w:rPr>
          <w:i/>
        </w:rPr>
        <w:t>Társadalomátalakulási elvek Széchenyi és Kossuth vitájában</w:t>
      </w:r>
      <w:r w:rsidRPr="008F7657">
        <w:t xml:space="preserve"> Debreceni Szemle 1994. 2. sz. 233–241.</w:t>
      </w:r>
    </w:p>
    <w:p w:rsidR="008F7657" w:rsidRPr="008F7657" w:rsidRDefault="008F7657" w:rsidP="008F7657">
      <w:pPr>
        <w:ind w:right="72"/>
        <w:jc w:val="both"/>
      </w:pPr>
    </w:p>
    <w:p w:rsidR="008F7657" w:rsidRPr="008F7657" w:rsidRDefault="008F7657" w:rsidP="008F7657">
      <w:pPr>
        <w:jc w:val="both"/>
      </w:pPr>
      <w:r w:rsidRPr="008F7657">
        <w:t>2. Az utolsó rendi országgyűlés és a márciusi fordulat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Erdődy</w:t>
      </w:r>
      <w:proofErr w:type="spellEnd"/>
      <w:r w:rsidRPr="008F7657">
        <w:t xml:space="preserve"> Gábor: </w:t>
      </w:r>
      <w:r w:rsidRPr="008F7657">
        <w:rPr>
          <w:i/>
        </w:rPr>
        <w:t>„Én csak fáklyatartó voltam” Kossuth Lajos, a magyar polgári forradalom és szabadságharc irányítója (1848–1849)</w:t>
      </w:r>
      <w:r w:rsidRPr="008F7657">
        <w:t xml:space="preserve"> Bp. 2006. 15–69.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Deák István: </w:t>
      </w:r>
      <w:r w:rsidRPr="008F7657">
        <w:rPr>
          <w:i/>
        </w:rPr>
        <w:t>A törvényes forradalom. Kossuth Lajos és a magyarok 1848–49-ben</w:t>
      </w:r>
      <w:r w:rsidRPr="008F7657">
        <w:t xml:space="preserve"> Bp. 1994. 69–123.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Kosáry</w:t>
      </w:r>
      <w:proofErr w:type="spellEnd"/>
      <w:r w:rsidRPr="008F7657">
        <w:t xml:space="preserve"> Domokos: </w:t>
      </w:r>
      <w:r w:rsidRPr="008F7657">
        <w:rPr>
          <w:i/>
        </w:rPr>
        <w:t>1848: az európai forradalmak anatómiája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t xml:space="preserve"> </w:t>
      </w:r>
      <w:r w:rsidRPr="008F7657">
        <w:rPr>
          <w:i/>
        </w:rPr>
        <w:t>A történelem veszedelmei. Írások Európáról és Magyarországról</w:t>
      </w:r>
      <w:r w:rsidRPr="008F7657">
        <w:t xml:space="preserve"> Bp. 1987. 256–278.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A forradalmak kihívása Közép-Európában 1848-ban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rPr>
          <w:i/>
        </w:rPr>
        <w:t xml:space="preserve"> 1848-ban hogy is volt? Tanulmányok Magyarország és Közép-Európa 1848–49-es történetéből</w:t>
      </w:r>
      <w:r w:rsidRPr="008F7657">
        <w:t xml:space="preserve"> Bp. 2001. 39–71.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Sikeres vagy sikertelen 1848-as forradalmak? – Az újabb történetírás mérlegei</w:t>
      </w:r>
      <w:r w:rsidRPr="008F7657">
        <w:t xml:space="preserve"> Uo. 486–496.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3. Az alkotmányosság új keretei</w:t>
      </w:r>
    </w:p>
    <w:p w:rsidR="008F7657" w:rsidRPr="008F7657" w:rsidRDefault="008F7657" w:rsidP="008F7657">
      <w:pPr>
        <w:ind w:firstLine="708"/>
        <w:jc w:val="both"/>
      </w:pPr>
      <w:r w:rsidRPr="008F7657">
        <w:rPr>
          <w:i/>
        </w:rPr>
        <w:t>1848. évi törvénycikkek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 xml:space="preserve">Magyar Törvénytár. 1836–1868. évi </w:t>
      </w:r>
      <w:proofErr w:type="spellStart"/>
      <w:r w:rsidRPr="008F7657">
        <w:rPr>
          <w:i/>
        </w:rPr>
        <w:t>törvényczikkek</w:t>
      </w:r>
      <w:proofErr w:type="spellEnd"/>
      <w:r w:rsidRPr="008F7657">
        <w:t xml:space="preserve"> szerk. Márkus Dezső Bp. 1896. 216–232., 237–238., 246–253.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A magyar polgári alkotmányos államrendszer 1848-ban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t xml:space="preserve"> </w:t>
      </w:r>
      <w:r w:rsidRPr="008F7657">
        <w:rPr>
          <w:i/>
        </w:rPr>
        <w:t>1848-ban hogy is volt? Tanulmányok Magyarország és Közép-Európa 1848–49-es történetéből</w:t>
      </w:r>
      <w:r w:rsidRPr="008F7657">
        <w:t xml:space="preserve"> Bp. 2001. 93–136.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Kajtár István: </w:t>
      </w:r>
      <w:r w:rsidRPr="008F7657">
        <w:rPr>
          <w:i/>
        </w:rPr>
        <w:t>Az 1848</w:t>
      </w:r>
      <w:proofErr w:type="gramStart"/>
      <w:r w:rsidRPr="008F7657">
        <w:rPr>
          <w:i/>
        </w:rPr>
        <w:t>:XXIII.</w:t>
      </w:r>
      <w:proofErr w:type="gramEnd"/>
      <w:r w:rsidRPr="008F7657">
        <w:rPr>
          <w:i/>
        </w:rPr>
        <w:t xml:space="preserve"> törvénycikk a szabad királyi városokról és a modern városi önkormányzat kialakulása Magyarországon</w:t>
      </w:r>
      <w:r w:rsidRPr="008F7657">
        <w:t xml:space="preserve"> Debreceni Szemle 1998. 3. sz. 440–445.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Szabad György: </w:t>
      </w:r>
      <w:r w:rsidRPr="008F7657">
        <w:rPr>
          <w:i/>
        </w:rPr>
        <w:t>A kormány parlamenti felelősségének kérdése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A magyar országgyűlés 1848/49-ben</w:t>
      </w:r>
      <w:r w:rsidRPr="008F7657">
        <w:t xml:space="preserve"> szerk. Szabad György Bp. 1998. 92–111.</w:t>
      </w:r>
    </w:p>
    <w:p w:rsidR="008F7657" w:rsidRPr="008F7657" w:rsidRDefault="008F7657" w:rsidP="008F7657">
      <w:pPr>
        <w:ind w:firstLine="708"/>
        <w:jc w:val="both"/>
        <w:rPr>
          <w:i/>
        </w:rPr>
      </w:pPr>
      <w:r w:rsidRPr="008F7657">
        <w:t xml:space="preserve">Urbán Aladár: </w:t>
      </w:r>
      <w:r w:rsidRPr="008F7657">
        <w:rPr>
          <w:i/>
        </w:rPr>
        <w:t>Batthyány Lajos miniszterelnöksége</w:t>
      </w:r>
      <w:r w:rsidRPr="008F7657">
        <w:t xml:space="preserve"> Bp. 1986. 240–299.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4. Az 1848. évi fordulat társadalmi jelentősége</w:t>
      </w:r>
    </w:p>
    <w:p w:rsidR="008F7657" w:rsidRPr="008F7657" w:rsidRDefault="008F7657" w:rsidP="008F7657">
      <w:pPr>
        <w:ind w:firstLine="708"/>
        <w:jc w:val="both"/>
      </w:pPr>
      <w:r w:rsidRPr="008F7657">
        <w:rPr>
          <w:i/>
        </w:rPr>
        <w:t>1848. évi törvénycikkek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 xml:space="preserve">Magyar Törvénytár. 1836–1868. évi </w:t>
      </w:r>
      <w:proofErr w:type="spellStart"/>
      <w:r w:rsidRPr="008F7657">
        <w:rPr>
          <w:i/>
        </w:rPr>
        <w:t>törvényczikkek</w:t>
      </w:r>
      <w:proofErr w:type="spellEnd"/>
      <w:r w:rsidRPr="008F7657">
        <w:t xml:space="preserve"> szerk. Márkus Dezső Bp. 1896. 232–237</w:t>
      </w:r>
      <w:proofErr w:type="gramStart"/>
      <w:r w:rsidRPr="008F7657">
        <w:t>.,</w:t>
      </w:r>
      <w:proofErr w:type="gramEnd"/>
      <w:r w:rsidRPr="008F7657">
        <w:t xml:space="preserve"> 238–244.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Szabad György: </w:t>
      </w:r>
      <w:r w:rsidRPr="008F7657">
        <w:rPr>
          <w:i/>
        </w:rPr>
        <w:t>A polgári átalakulás megalapozása 1848–49-ben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A negyvennyolcas forradalom kérdései</w:t>
      </w:r>
      <w:r w:rsidRPr="008F7657">
        <w:t xml:space="preserve"> szerk. </w:t>
      </w:r>
      <w:proofErr w:type="spellStart"/>
      <w:r w:rsidRPr="008F7657">
        <w:t>Spira</w:t>
      </w:r>
      <w:proofErr w:type="spellEnd"/>
      <w:r w:rsidRPr="008F7657">
        <w:t xml:space="preserve"> György – Szűcs Jenő (</w:t>
      </w:r>
      <w:proofErr w:type="gramStart"/>
      <w:r w:rsidRPr="008F7657">
        <w:t>Értekezések .</w:t>
      </w:r>
      <w:proofErr w:type="gramEnd"/>
      <w:r w:rsidRPr="008F7657">
        <w:t>.. 77.) Bp. 1976. 49–64.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Fónagy</w:t>
      </w:r>
      <w:proofErr w:type="spellEnd"/>
      <w:r w:rsidRPr="008F7657">
        <w:t xml:space="preserve"> Zoltán: </w:t>
      </w:r>
      <w:r w:rsidRPr="008F7657">
        <w:rPr>
          <w:i/>
        </w:rPr>
        <w:t>A nemesség 1848–49-ben</w:t>
      </w:r>
      <w:r w:rsidRPr="008F7657">
        <w:t xml:space="preserve"> Limes 2000. 1. sz. 107–115.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Orosz István: </w:t>
      </w:r>
      <w:r w:rsidRPr="008F7657">
        <w:rPr>
          <w:i/>
        </w:rPr>
        <w:t>A jobbágyfelszabadítás és végrehajtása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A magyar agrártársadalom a jobbágyság felszabadításától napjainkig</w:t>
      </w:r>
      <w:r w:rsidRPr="008F7657">
        <w:t xml:space="preserve"> szerk. </w:t>
      </w:r>
      <w:proofErr w:type="spellStart"/>
      <w:r w:rsidRPr="008F7657">
        <w:t>Gunst</w:t>
      </w:r>
      <w:proofErr w:type="spellEnd"/>
      <w:r w:rsidRPr="008F7657">
        <w:t xml:space="preserve"> Péter Bp. 1998. 57–59</w:t>
      </w:r>
      <w:proofErr w:type="gramStart"/>
      <w:r w:rsidRPr="008F7657">
        <w:t>.,</w:t>
      </w:r>
      <w:proofErr w:type="gramEnd"/>
      <w:r w:rsidRPr="008F7657">
        <w:t xml:space="preserve"> 74–111.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Horváth Attila: </w:t>
      </w:r>
      <w:r w:rsidRPr="008F7657">
        <w:rPr>
          <w:i/>
        </w:rPr>
        <w:t>Az 1848-as törvények magánjogi reformjai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Forradalom vagy reform? Tanulmányok az 1848/49-es forradalom és szabadságharc állam- és jogfejlődéséről</w:t>
      </w:r>
      <w:r w:rsidRPr="008F7657">
        <w:t xml:space="preserve"> szerk. Horváth Attila Bp. 1999. 137–147.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5. A magyar külpolitika és a nemzetközi erőtér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A magyar 1848–49 és Európa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 xml:space="preserve">Emlékkönyv </w:t>
      </w:r>
      <w:proofErr w:type="spellStart"/>
      <w:r w:rsidRPr="008F7657">
        <w:rPr>
          <w:i/>
        </w:rPr>
        <w:t>Csetri</w:t>
      </w:r>
      <w:proofErr w:type="spellEnd"/>
      <w:r w:rsidRPr="008F7657">
        <w:rPr>
          <w:i/>
        </w:rPr>
        <w:t xml:space="preserve"> Elek születésének nyolcvanadik évfordulójára</w:t>
      </w:r>
      <w:r w:rsidRPr="008F7657">
        <w:t xml:space="preserve"> szerk. Pál Judit – Sipos Gábor Kolozsvár, 2004. 139–150.</w:t>
      </w:r>
    </w:p>
    <w:p w:rsidR="008F7657" w:rsidRPr="008F7657" w:rsidRDefault="008F7657" w:rsidP="008F7657">
      <w:pPr>
        <w:ind w:firstLine="708"/>
        <w:jc w:val="both"/>
      </w:pPr>
      <w:r w:rsidRPr="008F7657">
        <w:lastRenderedPageBreak/>
        <w:t xml:space="preserve">Gergely András: </w:t>
      </w:r>
      <w:r w:rsidRPr="008F7657">
        <w:rPr>
          <w:i/>
        </w:rPr>
        <w:t>A magyar ügy és a magyar diplomácia Frankfurtban 1848 nyarán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t xml:space="preserve"> </w:t>
      </w:r>
      <w:r w:rsidRPr="008F7657">
        <w:rPr>
          <w:i/>
        </w:rPr>
        <w:t>1848-ban hogy is volt? Tanulmányok Magyarország és Közép-Európa 1848–49-es történetéből</w:t>
      </w:r>
      <w:r w:rsidRPr="008F7657">
        <w:t xml:space="preserve"> Bp. 2001. 360–401.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Kosáry</w:t>
      </w:r>
      <w:proofErr w:type="spellEnd"/>
      <w:r w:rsidRPr="008F7657">
        <w:t xml:space="preserve"> Domokos:</w:t>
      </w:r>
      <w:r w:rsidRPr="008F7657">
        <w:rPr>
          <w:i/>
        </w:rPr>
        <w:t xml:space="preserve"> Magyarország és a nemzetközi politika 1848–1849-ben</w:t>
      </w:r>
      <w:r w:rsidRPr="008F7657">
        <w:t xml:space="preserve"> Bp. 1999. 10–33</w:t>
      </w:r>
      <w:proofErr w:type="gramStart"/>
      <w:r w:rsidRPr="008F7657">
        <w:t>.,</w:t>
      </w:r>
      <w:proofErr w:type="gramEnd"/>
      <w:r w:rsidRPr="008F7657">
        <w:t xml:space="preserve"> 45–57.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Hajnal István: </w:t>
      </w:r>
      <w:r w:rsidRPr="008F7657">
        <w:rPr>
          <w:i/>
        </w:rPr>
        <w:t>A Batthyány-kormány külpolitikája</w:t>
      </w:r>
      <w:r w:rsidRPr="008F7657">
        <w:t xml:space="preserve"> Bp. 1987.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6. Nemzetiségi feszültségek és kísérletek a megegyezésre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Kosáry</w:t>
      </w:r>
      <w:proofErr w:type="spellEnd"/>
      <w:r w:rsidRPr="008F7657">
        <w:t xml:space="preserve"> Domokos:</w:t>
      </w:r>
      <w:r w:rsidRPr="008F7657">
        <w:rPr>
          <w:i/>
        </w:rPr>
        <w:t xml:space="preserve"> Magyarország és a nemzetközi politika 1848–1849-ben</w:t>
      </w:r>
      <w:r w:rsidRPr="008F7657">
        <w:t xml:space="preserve"> Bp. 1999. 114–219.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A nemzetiségi kérdés 1848–49-ben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t xml:space="preserve"> </w:t>
      </w:r>
      <w:r w:rsidRPr="008F7657">
        <w:rPr>
          <w:i/>
        </w:rPr>
        <w:t>1848-ban hogy is volt? Tanulmányok Magyarország és Közép-Európa 1848–49-es történetéből</w:t>
      </w:r>
      <w:r w:rsidRPr="008F7657">
        <w:t xml:space="preserve"> Bp. 2001. 446–467.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Kossuth nemzetiségi politikája 1847–1853</w:t>
      </w:r>
      <w:r w:rsidRPr="008F7657">
        <w:t xml:space="preserve"> </w:t>
      </w:r>
      <w:proofErr w:type="spellStart"/>
      <w:r w:rsidRPr="008F7657">
        <w:t>Tiszatáj</w:t>
      </w:r>
      <w:proofErr w:type="spellEnd"/>
      <w:r w:rsidRPr="008F7657">
        <w:t xml:space="preserve"> 2002. 9. sz. 78–84.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Katus László: </w:t>
      </w:r>
      <w:r w:rsidRPr="008F7657">
        <w:rPr>
          <w:i/>
        </w:rPr>
        <w:t>Kossuth és a nemzetiségi kérdés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Kossuth Lajos, „a magyarok Mózese”</w:t>
      </w:r>
      <w:r w:rsidRPr="008F7657">
        <w:t xml:space="preserve"> szerk. Hermann Róbert Bp. 2006. 45–65.</w:t>
      </w:r>
    </w:p>
    <w:p w:rsidR="008F7657" w:rsidRPr="008F7657" w:rsidRDefault="008F7657" w:rsidP="008F7657">
      <w:bookmarkStart w:id="0" w:name="_GoBack"/>
      <w:bookmarkEnd w:id="0"/>
    </w:p>
    <w:p w:rsidR="008F7657" w:rsidRPr="008F7657" w:rsidRDefault="008F7657" w:rsidP="008F7657">
      <w:pPr>
        <w:ind w:right="72"/>
        <w:jc w:val="both"/>
      </w:pPr>
      <w:r w:rsidRPr="008F7657">
        <w:t>7. Birodalmi kapcsolat és a 48-as alkotmányosság válsága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Az „Ausztriához intézett kérdés” Egységes birodalom vagy perszonális unió?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Magyarhontól az Újvilágig. Emlékkönyv Urbán Aladár ötvenéves tanári jubileumára</w:t>
      </w:r>
      <w:r w:rsidRPr="008F7657">
        <w:t xml:space="preserve"> szerk. </w:t>
      </w:r>
      <w:proofErr w:type="spellStart"/>
      <w:r w:rsidRPr="008F7657">
        <w:t>Erdődy</w:t>
      </w:r>
      <w:proofErr w:type="spellEnd"/>
      <w:r w:rsidRPr="008F7657">
        <w:t xml:space="preserve"> Gábor – Hermann Róbert Bp. 2002. 93–106.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Urbán Aladár: </w:t>
      </w:r>
      <w:r w:rsidRPr="008F7657">
        <w:rPr>
          <w:i/>
        </w:rPr>
        <w:t>Batthyány Lajos miniszterelnöksége</w:t>
      </w:r>
      <w:r w:rsidRPr="008F7657">
        <w:t xml:space="preserve"> Bp. 1986. 299–337.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Gergely András: </w:t>
      </w:r>
      <w:r w:rsidRPr="008F7657">
        <w:rPr>
          <w:i/>
        </w:rPr>
        <w:t>A szeptemberi fordulatok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t xml:space="preserve"> </w:t>
      </w:r>
      <w:r w:rsidRPr="008F7657">
        <w:rPr>
          <w:i/>
        </w:rPr>
        <w:t>1848-ban hogy is volt? Tanulmányok Magyarország és Közép-Európa 1848–49-es történetéből</w:t>
      </w:r>
      <w:r w:rsidRPr="008F7657">
        <w:t xml:space="preserve"> Bp. 2001. 422–445.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Szabó István: </w:t>
      </w:r>
      <w:r w:rsidRPr="008F7657">
        <w:rPr>
          <w:i/>
        </w:rPr>
        <w:t>Az Országos Honvédelmi Bizottmány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Forradalom vagy reform? Tanulmányok az 1848/49-es forradalom és szabadságharc állam- és jogfejlődéséről</w:t>
      </w:r>
      <w:r w:rsidRPr="008F7657">
        <w:t xml:space="preserve"> szerk. Horváth Attila Bp. 1999. 83–94.</w:t>
      </w:r>
    </w:p>
    <w:p w:rsidR="008F7657" w:rsidRPr="008F7657" w:rsidRDefault="008F7657" w:rsidP="008F7657">
      <w:pPr>
        <w:ind w:right="72"/>
        <w:jc w:val="both"/>
      </w:pPr>
    </w:p>
    <w:p w:rsidR="008F7657" w:rsidRPr="008F7657" w:rsidRDefault="008F7657" w:rsidP="008F7657">
      <w:pPr>
        <w:ind w:right="72"/>
        <w:jc w:val="both"/>
      </w:pPr>
      <w:r w:rsidRPr="008F7657">
        <w:t>8. Hadseregszervezés és tisztikar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Urbán Aladár: </w:t>
      </w:r>
      <w:r w:rsidRPr="008F7657">
        <w:rPr>
          <w:i/>
        </w:rPr>
        <w:t>Batthyány és a honvédelem 1848-ban</w:t>
      </w:r>
      <w:r w:rsidRPr="008F7657">
        <w:t xml:space="preserve"> Századok 1982. 6. sz. 1229–1250.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Bona</w:t>
      </w:r>
      <w:proofErr w:type="spellEnd"/>
      <w:r w:rsidRPr="008F7657">
        <w:t xml:space="preserve"> Gábor: </w:t>
      </w:r>
      <w:r w:rsidRPr="008F7657">
        <w:rPr>
          <w:i/>
        </w:rPr>
        <w:t>Forradalmi hadsereg – hivatásos tisztek. Aktív császári tisztek az 1848/49-es magyar honvédseregben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A magyar katonatiszt (1848–1945)</w:t>
      </w:r>
      <w:r w:rsidRPr="008F7657">
        <w:t xml:space="preserve"> szerk. Hajdu Tibor Bp. 1989. 5–20.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Hermann Róbert: </w:t>
      </w:r>
      <w:r w:rsidRPr="008F7657">
        <w:rPr>
          <w:i/>
        </w:rPr>
        <w:t>1848–1849. A szabadságharc hadtörténete</w:t>
      </w:r>
      <w:r w:rsidRPr="008F7657">
        <w:t xml:space="preserve"> Bp. 2001. 33–69.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Hermann Róbert: </w:t>
      </w:r>
      <w:r w:rsidRPr="008F7657">
        <w:rPr>
          <w:i/>
        </w:rPr>
        <w:t>Hadsereg és politika 1848–1849-ben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rPr>
          <w:i/>
        </w:rPr>
        <w:t xml:space="preserve"> Reformkor, forradalom, szabadságharc. Válogatott tanulmányok</w:t>
      </w:r>
      <w:r w:rsidRPr="008F7657">
        <w:t xml:space="preserve"> Bp. 2016. 55–74.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9. Hadműveletek és katonai erőviszonyok</w:t>
      </w:r>
    </w:p>
    <w:p w:rsidR="008F7657" w:rsidRPr="008F7657" w:rsidRDefault="008F7657" w:rsidP="008F7657">
      <w:pPr>
        <w:ind w:firstLine="708"/>
        <w:jc w:val="both"/>
      </w:pPr>
      <w:r w:rsidRPr="008F7657">
        <w:tab/>
        <w:t xml:space="preserve">Hermann Róbert: </w:t>
      </w:r>
      <w:r w:rsidRPr="008F7657">
        <w:rPr>
          <w:i/>
        </w:rPr>
        <w:t>A magyar szabadságharc katonai esélyei az erőviszonyok változásának tükrében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proofErr w:type="spellStart"/>
      <w:r w:rsidRPr="008F7657">
        <w:t>Uő</w:t>
      </w:r>
      <w:proofErr w:type="spellEnd"/>
      <w:proofErr w:type="gramStart"/>
      <w:r w:rsidRPr="008F7657">
        <w:t>.:</w:t>
      </w:r>
      <w:proofErr w:type="gramEnd"/>
      <w:r w:rsidRPr="008F7657">
        <w:t xml:space="preserve"> </w:t>
      </w:r>
      <w:r w:rsidRPr="008F7657">
        <w:rPr>
          <w:i/>
        </w:rPr>
        <w:t>Reformkor, forradalom, szabadságharc. Válogatott tanulmányok</w:t>
      </w:r>
      <w:r w:rsidRPr="008F7657">
        <w:t xml:space="preserve"> Bp. 2016. 75–92.</w:t>
      </w:r>
    </w:p>
    <w:p w:rsidR="008F7657" w:rsidRPr="008F7657" w:rsidRDefault="008F7657" w:rsidP="008F7657">
      <w:pPr>
        <w:ind w:firstLine="708"/>
        <w:jc w:val="both"/>
      </w:pPr>
      <w:r w:rsidRPr="008F7657">
        <w:rPr>
          <w:i/>
        </w:rPr>
        <w:t>A szabadságharc katonai története. Pákozdtól Világosig 1848–1849</w:t>
      </w:r>
      <w:r w:rsidRPr="008F7657">
        <w:t xml:space="preserve"> szerk. </w:t>
      </w:r>
      <w:proofErr w:type="spellStart"/>
      <w:r w:rsidRPr="008F7657">
        <w:t>Bona</w:t>
      </w:r>
      <w:proofErr w:type="spellEnd"/>
      <w:r w:rsidRPr="008F7657">
        <w:t xml:space="preserve"> Gábor Bp. 1998. 103–271. [Hermann Róbert: </w:t>
      </w:r>
      <w:r w:rsidRPr="008F7657">
        <w:rPr>
          <w:i/>
        </w:rPr>
        <w:t>Az 1848–1849. évi magyar szabadságharc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Magyarország hadtörténete III. Magyarország a Habsburg Monarchiában 1718–1919</w:t>
      </w:r>
      <w:r w:rsidRPr="008F7657">
        <w:t xml:space="preserve"> szerk. Hermann Róbert Bp. é. n. 131–170.; Hermann Róbert: </w:t>
      </w:r>
      <w:r w:rsidRPr="008F7657">
        <w:rPr>
          <w:i/>
        </w:rPr>
        <w:t>1848–1849. A szabadságharc hadtörténete</w:t>
      </w:r>
      <w:r w:rsidRPr="008F7657">
        <w:t xml:space="preserve"> Bp. 2001. 104–400.]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10. Trónfosztás, függetlenség, intervenció</w:t>
      </w:r>
    </w:p>
    <w:p w:rsidR="008F7657" w:rsidRPr="008F7657" w:rsidRDefault="008F7657" w:rsidP="008F7657">
      <w:pPr>
        <w:ind w:firstLine="708"/>
        <w:jc w:val="both"/>
      </w:pPr>
      <w:r w:rsidRPr="008F7657">
        <w:rPr>
          <w:i/>
        </w:rPr>
        <w:t xml:space="preserve">A magyar nemzet Függetlenségi Nyilatkozata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Kossuth Lajos összes munkái</w:t>
      </w:r>
      <w:r w:rsidRPr="008F7657">
        <w:t xml:space="preserve"> XV. szerk. Barta István Bp. 1953. 895–912.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lastRenderedPageBreak/>
        <w:t>Erdődy</w:t>
      </w:r>
      <w:proofErr w:type="spellEnd"/>
      <w:r w:rsidRPr="008F7657">
        <w:t xml:space="preserve"> Gábor: </w:t>
      </w:r>
      <w:r w:rsidRPr="008F7657">
        <w:rPr>
          <w:i/>
        </w:rPr>
        <w:t>Útkereső független Magyarország a változó Európában. A Függetlenségi Nyilatkozat fogadtatása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Nemzeti és társadalmi átalakulás a XIX. században Magyarországon. Tanulmányok Szabad György 70. születésnapjára</w:t>
      </w:r>
      <w:r w:rsidRPr="008F7657">
        <w:t xml:space="preserve"> szerk. Orosz István – Pölöskei Ferenc Bp. 1994. 305–318.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Kosáry</w:t>
      </w:r>
      <w:proofErr w:type="spellEnd"/>
      <w:r w:rsidRPr="008F7657">
        <w:t xml:space="preserve"> Domokos:</w:t>
      </w:r>
      <w:r w:rsidRPr="008F7657">
        <w:rPr>
          <w:i/>
        </w:rPr>
        <w:t xml:space="preserve"> Magyarország és a nemzetközi politika 1848–1849-ben</w:t>
      </w:r>
      <w:r w:rsidRPr="008F7657">
        <w:t xml:space="preserve"> Bp. 1999. 58–84</w:t>
      </w:r>
      <w:proofErr w:type="gramStart"/>
      <w:r w:rsidRPr="008F7657">
        <w:t>.,</w:t>
      </w:r>
      <w:proofErr w:type="gramEnd"/>
      <w:r w:rsidRPr="008F7657">
        <w:t xml:space="preserve"> 254–276.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Szabó István: </w:t>
      </w:r>
      <w:r w:rsidRPr="008F7657">
        <w:rPr>
          <w:i/>
        </w:rPr>
        <w:t>Az államfői intézmény a Függetlenségi Nyilatkozat után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A magyar polgári átalakulás alkotmányos forradalma. Jogtörténészek 1848-ról</w:t>
      </w:r>
      <w:r w:rsidRPr="008F7657">
        <w:t xml:space="preserve"> szerk. Vörös Imre Bp. 2001. 279–290.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Ruszoly</w:t>
      </w:r>
      <w:proofErr w:type="spellEnd"/>
      <w:r w:rsidRPr="008F7657">
        <w:t xml:space="preserve"> József: </w:t>
      </w:r>
      <w:r w:rsidRPr="008F7657">
        <w:rPr>
          <w:i/>
        </w:rPr>
        <w:t xml:space="preserve">Szemere Bertalan szakítása Kossuth Lajossal. Ismét a </w:t>
      </w:r>
      <w:r w:rsidRPr="008F7657">
        <w:t>Politikai jellemrajzok</w:t>
      </w:r>
      <w:r w:rsidRPr="008F7657">
        <w:rPr>
          <w:i/>
        </w:rPr>
        <w:t xml:space="preserve"> (1852) keletkezéséről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Európai Magyarországot! Kossuth Lajos és a modern állam koncepciója</w:t>
      </w:r>
      <w:r w:rsidRPr="008F7657">
        <w:t xml:space="preserve"> szerk. Balogh Judit Debrecen, 2004. 87–110.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11. Megtorlás és emigráció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Deák István: </w:t>
      </w:r>
      <w:r w:rsidRPr="008F7657">
        <w:rPr>
          <w:i/>
        </w:rPr>
        <w:t>A törvényes forradalom. Kossuth Lajos és a magyarok 1848–49-ben</w:t>
      </w:r>
      <w:r w:rsidRPr="008F7657">
        <w:t xml:space="preserve"> Bp. 1994. 326–352.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Hermann Róbert: </w:t>
      </w:r>
      <w:r w:rsidRPr="008F7657">
        <w:rPr>
          <w:i/>
        </w:rPr>
        <w:t>Az 1848–1850. évi megtorlás. Az elvek és a gyakorlat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Az 1848–1849. évi országgyűlés mártírjai</w:t>
      </w:r>
      <w:r w:rsidRPr="008F7657">
        <w:t xml:space="preserve"> szerk. Kedves Gyula – </w:t>
      </w:r>
      <w:proofErr w:type="spellStart"/>
      <w:r w:rsidRPr="008F7657">
        <w:t>Pelyach</w:t>
      </w:r>
      <w:proofErr w:type="spellEnd"/>
      <w:r w:rsidRPr="008F7657">
        <w:t xml:space="preserve"> István Bp. 2016. 11–66.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Lukács Lajos: </w:t>
      </w:r>
      <w:r w:rsidRPr="008F7657">
        <w:rPr>
          <w:i/>
        </w:rPr>
        <w:t>Magyar politikai emigráció 1849–1867</w:t>
      </w:r>
      <w:r w:rsidRPr="008F7657">
        <w:t xml:space="preserve"> Bp. 1984. 27–101.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  <w:r w:rsidRPr="008F7657">
        <w:t>12. A Kossuth-emigráció céljai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Spira</w:t>
      </w:r>
      <w:proofErr w:type="spellEnd"/>
      <w:r w:rsidRPr="008F7657">
        <w:t xml:space="preserve"> György: </w:t>
      </w:r>
      <w:r w:rsidRPr="008F7657">
        <w:rPr>
          <w:i/>
        </w:rPr>
        <w:t>Kossuth és alkotmányterve</w:t>
      </w:r>
      <w:r w:rsidRPr="008F7657">
        <w:t xml:space="preserve"> Debrecen, 1989. 49–83.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Pajkossy</w:t>
      </w:r>
      <w:proofErr w:type="spellEnd"/>
      <w:r w:rsidRPr="008F7657">
        <w:t xml:space="preserve"> Gábor: </w:t>
      </w:r>
      <w:r w:rsidRPr="008F7657">
        <w:rPr>
          <w:i/>
        </w:rPr>
        <w:t>Az 1862. évi Duna-konföderációs tervezet dokumentumai</w:t>
      </w:r>
      <w:r w:rsidRPr="008F7657">
        <w:t xml:space="preserve"> Századok 2002. 4. sz. 952–956.</w:t>
      </w:r>
    </w:p>
    <w:p w:rsidR="008F7657" w:rsidRPr="008F7657" w:rsidRDefault="008F7657" w:rsidP="008F7657">
      <w:pPr>
        <w:ind w:firstLine="708"/>
        <w:jc w:val="both"/>
      </w:pPr>
      <w:proofErr w:type="spellStart"/>
      <w:r w:rsidRPr="008F7657">
        <w:t>Erdődy</w:t>
      </w:r>
      <w:proofErr w:type="spellEnd"/>
      <w:r w:rsidRPr="008F7657">
        <w:t xml:space="preserve"> Gábor: </w:t>
      </w:r>
      <w:r w:rsidRPr="008F7657">
        <w:rPr>
          <w:i/>
        </w:rPr>
        <w:t>„Nemcsak Ausztria halt meg, Szent István Magyarországa is” Teleki László, a forradalmi magyar diplomácia irányítója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>:</w:t>
      </w:r>
      <w:r w:rsidRPr="008F7657">
        <w:rPr>
          <w:i/>
        </w:rPr>
        <w:t xml:space="preserve"> „</w:t>
      </w:r>
      <w:proofErr w:type="spellStart"/>
      <w:r w:rsidRPr="008F7657">
        <w:rPr>
          <w:i/>
        </w:rPr>
        <w:t>Tántoríthatlan</w:t>
      </w:r>
      <w:proofErr w:type="spellEnd"/>
      <w:r w:rsidRPr="008F7657">
        <w:rPr>
          <w:i/>
        </w:rPr>
        <w:t xml:space="preserve"> elvhűség, sziklaszilárd jellem, lovagias becsület” Teleki László gróf küzdelmes élete és rejtélyes halála</w:t>
      </w:r>
      <w:r w:rsidRPr="008F7657">
        <w:t xml:space="preserve"> szerk. </w:t>
      </w:r>
      <w:proofErr w:type="spellStart"/>
      <w:r w:rsidRPr="008F7657">
        <w:t>Debreczeni-Droppán</w:t>
      </w:r>
      <w:proofErr w:type="spellEnd"/>
      <w:r w:rsidRPr="008F7657">
        <w:t xml:space="preserve"> Béla Bp. 2017. 109–128.</w:t>
      </w:r>
    </w:p>
    <w:p w:rsidR="008F7657" w:rsidRPr="008F7657" w:rsidRDefault="008F7657" w:rsidP="008F7657">
      <w:pPr>
        <w:ind w:firstLine="708"/>
        <w:jc w:val="both"/>
      </w:pPr>
      <w:r w:rsidRPr="008F7657">
        <w:t xml:space="preserve">Katus László: </w:t>
      </w:r>
      <w:r w:rsidRPr="008F7657">
        <w:rPr>
          <w:i/>
        </w:rPr>
        <w:t>Kossuth és a nemzetiségi kérdés</w:t>
      </w:r>
      <w:r w:rsidRPr="008F7657">
        <w:t xml:space="preserve"> </w:t>
      </w:r>
      <w:proofErr w:type="spellStart"/>
      <w:r w:rsidRPr="008F7657">
        <w:t>in</w:t>
      </w:r>
      <w:proofErr w:type="spellEnd"/>
      <w:r w:rsidRPr="008F7657">
        <w:t xml:space="preserve">: </w:t>
      </w:r>
      <w:r w:rsidRPr="008F7657">
        <w:rPr>
          <w:i/>
        </w:rPr>
        <w:t>Kossuth Lajos, „a magyarok Mózese”</w:t>
      </w:r>
      <w:r w:rsidRPr="008F7657">
        <w:t xml:space="preserve"> szerk. Hermann Róbert Bp. 2006. 65–74.</w:t>
      </w: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jc w:val="both"/>
      </w:pPr>
    </w:p>
    <w:p w:rsidR="008F7657" w:rsidRPr="008F7657" w:rsidRDefault="008F7657" w:rsidP="008F7657">
      <w:pPr>
        <w:ind w:right="72"/>
        <w:jc w:val="both"/>
      </w:pPr>
      <w:r w:rsidRPr="008F7657">
        <w:t>Debrecen, 2018. szeptember 13.</w:t>
      </w:r>
    </w:p>
    <w:p w:rsidR="008F7657" w:rsidRPr="008F7657" w:rsidRDefault="008F7657" w:rsidP="008F7657">
      <w:pPr>
        <w:ind w:right="72"/>
        <w:jc w:val="both"/>
      </w:pPr>
    </w:p>
    <w:p w:rsidR="008F7657" w:rsidRPr="008F7657" w:rsidRDefault="008F7657" w:rsidP="008F7657">
      <w:pPr>
        <w:pStyle w:val="Szvegtrzs"/>
        <w:ind w:firstLine="5670"/>
        <w:rPr>
          <w:sz w:val="24"/>
          <w:szCs w:val="24"/>
        </w:rPr>
      </w:pPr>
      <w:proofErr w:type="spellStart"/>
      <w:r w:rsidRPr="008F7657">
        <w:rPr>
          <w:sz w:val="24"/>
          <w:szCs w:val="24"/>
        </w:rPr>
        <w:t>Miru</w:t>
      </w:r>
      <w:proofErr w:type="spellEnd"/>
      <w:r w:rsidRPr="008F7657">
        <w:rPr>
          <w:sz w:val="24"/>
          <w:szCs w:val="24"/>
        </w:rPr>
        <w:t xml:space="preserve"> György</w:t>
      </w:r>
    </w:p>
    <w:p w:rsidR="008F7657" w:rsidRPr="008F7657" w:rsidRDefault="008F7657" w:rsidP="008F7657">
      <w:pPr>
        <w:pStyle w:val="Szvegtrzs"/>
        <w:ind w:firstLine="5529"/>
        <w:rPr>
          <w:sz w:val="24"/>
          <w:szCs w:val="24"/>
        </w:rPr>
      </w:pPr>
      <w:r w:rsidRPr="008F7657">
        <w:rPr>
          <w:sz w:val="24"/>
          <w:szCs w:val="24"/>
        </w:rPr>
        <w:t xml:space="preserve"> </w:t>
      </w:r>
      <w:proofErr w:type="gramStart"/>
      <w:r w:rsidRPr="008F7657">
        <w:rPr>
          <w:sz w:val="24"/>
          <w:szCs w:val="24"/>
        </w:rPr>
        <w:t>egyetemi</w:t>
      </w:r>
      <w:proofErr w:type="gramEnd"/>
      <w:r w:rsidRPr="008F7657">
        <w:rPr>
          <w:sz w:val="24"/>
          <w:szCs w:val="24"/>
        </w:rPr>
        <w:t xml:space="preserve"> docens</w:t>
      </w:r>
    </w:p>
    <w:p w:rsidR="00F137C4" w:rsidRPr="008F7657" w:rsidRDefault="00F137C4"/>
    <w:sectPr w:rsidR="00F137C4" w:rsidRPr="008F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7"/>
    <w:rsid w:val="008F7657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1BF3-A1F2-4224-A525-F60BC92D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7657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F7657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2018-09-14T09:09:00Z</dcterms:created>
  <dcterms:modified xsi:type="dcterms:W3CDTF">2018-09-14T09:10:00Z</dcterms:modified>
</cp:coreProperties>
</file>