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D3" w:rsidRDefault="003719D3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22C8A" w:rsidRPr="0087262E" w:rsidTr="00657173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C8A" w:rsidRPr="00AE0790" w:rsidRDefault="00822C8A" w:rsidP="00F8495F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C8A" w:rsidRPr="00885992" w:rsidRDefault="00822C8A" w:rsidP="008261E3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22C8A" w:rsidRPr="00885992" w:rsidRDefault="00427482" w:rsidP="001643F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Nemzetközi üzleti ismeretek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8A" w:rsidRPr="0087262E" w:rsidRDefault="00822C8A" w:rsidP="008261E3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6525C" w:rsidRPr="0087262E" w:rsidRDefault="003C7AEA" w:rsidP="003101B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BTNT501BA</w:t>
            </w:r>
            <w:bookmarkStart w:id="0" w:name="_GoBack"/>
            <w:bookmarkEnd w:id="0"/>
          </w:p>
        </w:tc>
      </w:tr>
      <w:tr w:rsidR="00822C8A" w:rsidRPr="0087262E" w:rsidTr="00657173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C8A" w:rsidRPr="00AE0790" w:rsidRDefault="00822C8A" w:rsidP="008261E3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C8A" w:rsidRPr="0084731C" w:rsidRDefault="00822C8A" w:rsidP="008261E3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22C8A" w:rsidRPr="00191C71" w:rsidRDefault="00427482" w:rsidP="001643F0">
            <w:pPr>
              <w:jc w:val="center"/>
              <w:rPr>
                <w:b/>
              </w:rPr>
            </w:pPr>
            <w:r>
              <w:rPr>
                <w:b/>
              </w:rPr>
              <w:t>International business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8A" w:rsidRPr="0087262E" w:rsidRDefault="00822C8A" w:rsidP="008261E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22C8A" w:rsidRPr="0087262E" w:rsidRDefault="00822C8A" w:rsidP="008261E3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22C8A" w:rsidRPr="0087262E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8A" w:rsidRPr="0087262E" w:rsidRDefault="00822C8A" w:rsidP="003101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C8A" w:rsidRPr="0087262E" w:rsidTr="00657173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8A" w:rsidRPr="0087262E" w:rsidRDefault="00822C8A" w:rsidP="00F8495F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22C8A" w:rsidRPr="0087262E" w:rsidRDefault="00FF3063" w:rsidP="00FF306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FF3063">
              <w:rPr>
                <w:b/>
              </w:rPr>
              <w:t>özgazdaságtan és Világgazdaságtan Intézet</w:t>
            </w:r>
          </w:p>
        </w:tc>
      </w:tr>
      <w:tr w:rsidR="00822C8A" w:rsidRPr="0087262E" w:rsidTr="00657173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8A" w:rsidRPr="00AE0790" w:rsidRDefault="00822C8A" w:rsidP="00F8495F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22C8A" w:rsidRPr="00AE0790" w:rsidRDefault="00DE5E66" w:rsidP="008261E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Kereskedelmi stratégiák specializáció választása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C8A" w:rsidRPr="00AE0790" w:rsidRDefault="00822C8A" w:rsidP="007D6AEC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22C8A" w:rsidRPr="00AE0790" w:rsidRDefault="00822C8A" w:rsidP="00914156">
            <w:pPr>
              <w:jc w:val="center"/>
              <w:rPr>
                <w:rFonts w:eastAsia="Arial Unicode MS"/>
              </w:rPr>
            </w:pPr>
          </w:p>
        </w:tc>
      </w:tr>
      <w:tr w:rsidR="00822C8A" w:rsidRPr="0087262E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8A" w:rsidRPr="00AE0790" w:rsidRDefault="00822C8A" w:rsidP="00C04163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8A" w:rsidRPr="00AE0790" w:rsidRDefault="00657173" w:rsidP="008261E3">
            <w:pPr>
              <w:jc w:val="center"/>
            </w:pPr>
            <w:r>
              <w:t>Ó</w:t>
            </w:r>
            <w:r w:rsidR="00822C8A"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8A" w:rsidRPr="00AE0790" w:rsidRDefault="00822C8A" w:rsidP="008261E3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8A" w:rsidRPr="00AE0790" w:rsidRDefault="00822C8A" w:rsidP="008261E3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8A" w:rsidRPr="00AE0790" w:rsidRDefault="00822C8A" w:rsidP="008261E3">
            <w:pPr>
              <w:jc w:val="center"/>
            </w:pPr>
            <w:r w:rsidRPr="00AE0790">
              <w:t>Oktatás nyelve</w:t>
            </w:r>
          </w:p>
        </w:tc>
      </w:tr>
      <w:tr w:rsidR="00657173" w:rsidRPr="0087262E" w:rsidTr="00657173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3" w:rsidRPr="0087262E" w:rsidRDefault="00657173" w:rsidP="008261E3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3" w:rsidRPr="0087262E" w:rsidRDefault="00657173" w:rsidP="008261E3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3" w:rsidRPr="0087262E" w:rsidRDefault="00657173" w:rsidP="008261E3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3" w:rsidRPr="0087262E" w:rsidRDefault="00657173" w:rsidP="008261E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3" w:rsidRPr="0087262E" w:rsidRDefault="00657173" w:rsidP="008261E3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3" w:rsidRPr="0087262E" w:rsidRDefault="00657173" w:rsidP="008261E3">
            <w:pPr>
              <w:rPr>
                <w:sz w:val="16"/>
                <w:szCs w:val="16"/>
              </w:rPr>
            </w:pPr>
          </w:p>
        </w:tc>
      </w:tr>
      <w:tr w:rsidR="00657173" w:rsidRPr="0087262E" w:rsidTr="00657173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3" w:rsidRPr="0087262E" w:rsidRDefault="00657173" w:rsidP="008261E3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7173" w:rsidRPr="00930297" w:rsidRDefault="006529C9" w:rsidP="00826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3" w:rsidRPr="0087262E" w:rsidRDefault="00657173" w:rsidP="008261E3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7173" w:rsidRPr="0087262E" w:rsidRDefault="006529C9" w:rsidP="00826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3" w:rsidRPr="0087262E" w:rsidRDefault="00657173" w:rsidP="008261E3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7173" w:rsidRPr="0087262E" w:rsidRDefault="005D25B2" w:rsidP="00AA7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7173" w:rsidRPr="0087262E" w:rsidRDefault="006529C9" w:rsidP="008261E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73" w:rsidRPr="0087262E" w:rsidRDefault="00A52A2C" w:rsidP="008261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7173" w:rsidRPr="0087262E" w:rsidRDefault="006529C9" w:rsidP="0087262E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657173" w:rsidRPr="0087262E" w:rsidTr="00740E47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3" w:rsidRPr="0087262E" w:rsidRDefault="00657173" w:rsidP="00C04163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7173" w:rsidRPr="00930297" w:rsidRDefault="00657173" w:rsidP="00C04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3" w:rsidRPr="00282AFF" w:rsidRDefault="00657173" w:rsidP="008261E3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7173" w:rsidRPr="00DA5E3F" w:rsidRDefault="00657173" w:rsidP="008261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3" w:rsidRPr="0087262E" w:rsidRDefault="00657173" w:rsidP="008261E3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7173" w:rsidRPr="00191C71" w:rsidRDefault="00657173" w:rsidP="00AA77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7173" w:rsidRPr="0087262E" w:rsidRDefault="00657173" w:rsidP="00826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3" w:rsidRPr="0087262E" w:rsidRDefault="00657173" w:rsidP="00826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7173" w:rsidRPr="0087262E" w:rsidRDefault="00657173" w:rsidP="008261E3">
            <w:pPr>
              <w:jc w:val="center"/>
              <w:rPr>
                <w:sz w:val="16"/>
                <w:szCs w:val="16"/>
              </w:rPr>
            </w:pPr>
          </w:p>
        </w:tc>
      </w:tr>
      <w:tr w:rsidR="00D366ED" w:rsidRPr="0087262E" w:rsidTr="00740E47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6ED" w:rsidRPr="00AE0790" w:rsidRDefault="00D366ED" w:rsidP="00F8495F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ED" w:rsidRPr="00AE0790" w:rsidRDefault="00D366ED" w:rsidP="008261E3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366ED" w:rsidRPr="00740E47" w:rsidRDefault="006529C9" w:rsidP="00164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Erdey László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ED" w:rsidRPr="0087262E" w:rsidRDefault="00D366ED" w:rsidP="008261E3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366ED" w:rsidRPr="00191C71" w:rsidRDefault="006529C9" w:rsidP="001643F0">
            <w:pPr>
              <w:jc w:val="center"/>
              <w:rPr>
                <w:b/>
              </w:rPr>
            </w:pPr>
            <w:r>
              <w:rPr>
                <w:b/>
              </w:rPr>
              <w:t>egyetemi docens</w:t>
            </w:r>
          </w:p>
        </w:tc>
      </w:tr>
      <w:tr w:rsidR="00740E47" w:rsidRPr="0087262E" w:rsidTr="00740E47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E47" w:rsidRPr="00AE0790" w:rsidRDefault="00740E47" w:rsidP="00F8495F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E47" w:rsidRPr="00AE0790" w:rsidRDefault="00740E47" w:rsidP="008261E3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0239D" w:rsidRDefault="00A11284" w:rsidP="00A52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Tóth Eszter</w:t>
            </w:r>
          </w:p>
          <w:p w:rsidR="00490238" w:rsidRPr="00740E47" w:rsidRDefault="00863711" w:rsidP="00A52A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Várnagy Edina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E47" w:rsidRPr="00AE0790" w:rsidRDefault="00740E47" w:rsidP="00740E47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0239D" w:rsidRDefault="00490238" w:rsidP="00A52A2C">
            <w:pPr>
              <w:jc w:val="center"/>
              <w:rPr>
                <w:b/>
              </w:rPr>
            </w:pPr>
            <w:r>
              <w:rPr>
                <w:b/>
              </w:rPr>
              <w:t xml:space="preserve">egyetemi </w:t>
            </w:r>
            <w:r w:rsidR="00A11284">
              <w:rPr>
                <w:b/>
              </w:rPr>
              <w:t>tanársegéd</w:t>
            </w:r>
          </w:p>
          <w:p w:rsidR="00490238" w:rsidRPr="00191C71" w:rsidRDefault="00863711" w:rsidP="00A52A2C">
            <w:pPr>
              <w:jc w:val="center"/>
              <w:rPr>
                <w:b/>
              </w:rPr>
            </w:pPr>
            <w:r>
              <w:rPr>
                <w:b/>
              </w:rPr>
              <w:t>PhD hallgató</w:t>
            </w:r>
          </w:p>
        </w:tc>
      </w:tr>
      <w:tr w:rsidR="00D366ED" w:rsidRPr="0087262E" w:rsidTr="00F523EA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6D" w:rsidRPr="00B21A18" w:rsidRDefault="00D366ED" w:rsidP="00427482">
            <w:r w:rsidRPr="00B21A18">
              <w:rPr>
                <w:b/>
                <w:bCs/>
              </w:rPr>
              <w:t xml:space="preserve">A kurzus célja, </w:t>
            </w:r>
            <w:r w:rsidRPr="00B21A18">
              <w:t>hogy a hallgatók</w:t>
            </w:r>
            <w:r w:rsidR="00427482">
              <w:t xml:space="preserve"> </w:t>
            </w:r>
            <w:r w:rsidR="00427482" w:rsidRPr="00427482">
              <w:t>megismerkedjenek az áruk és szolgáltatások külkereskedelmének alapvető koncepcióival, állami szabályozásának eszközrendszerével, legfontosabb nemzetközi intézményeivel, a hazai és a nemzetközi makro- és mikro-környezet közötti legjelentősebb különbségekkel, a külkereskedelem technikájának egyes részleteivel, valamint európai uniós és magyarországi szabályozásának logikájával és részleteivel.</w:t>
            </w:r>
          </w:p>
        </w:tc>
      </w:tr>
      <w:tr w:rsidR="00D366ED" w:rsidRPr="0087262E" w:rsidTr="00AA77DE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A6E76" w:rsidRDefault="00EA6E76" w:rsidP="00EA6E76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kompetenciáknak, kompetencia-elemeknek (tudás, képesség stb., KKK 7. pont) a felsorolása, amelyek kialakításához a tantárgy jellemzően, érdemben hozzájárul </w:t>
            </w:r>
          </w:p>
          <w:p w:rsidR="00EA6E76" w:rsidRDefault="00EA6E76" w:rsidP="00EA6E76">
            <w:pPr>
              <w:jc w:val="both"/>
              <w:rPr>
                <w:b/>
                <w:bCs/>
              </w:rPr>
            </w:pPr>
          </w:p>
          <w:p w:rsidR="00D366ED" w:rsidRPr="00B21A18" w:rsidRDefault="00D366ED" w:rsidP="00EA6E76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D366ED" w:rsidRPr="00B21A18" w:rsidRDefault="00507FA1" w:rsidP="000603DB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07FA1">
              <w:t>Rendelkezik a gazdaságtudomány alapvető, átfogó fogalmainak, elméleteinek, tényeinek, nemzetgazdasági és nemzetközi összefüggéseinek ismeretével, a releváns gazdasági szereplőkre, funkciókra és folyamatokra vonatkozóan.</w:t>
            </w:r>
            <w:r>
              <w:t xml:space="preserve"> </w:t>
            </w:r>
            <w:r w:rsidRPr="00507FA1">
              <w:t>Ismeri és érti a gazdálkodási folyamatok irányításának, szervezésének és működtetésének alapelveit és módszereit, a gazdálkodási folyamatok elemzésének módszertanát, a döntés-előkészítés, döntéstámogatás módszertani alapjait.</w:t>
            </w:r>
          </w:p>
          <w:p w:rsidR="00D366ED" w:rsidRPr="00B21A18" w:rsidRDefault="00D366ED" w:rsidP="000603DB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507FA1" w:rsidRDefault="00507FA1" w:rsidP="00507FA1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 tanult elméletek és módszerek alkalmazásával tényeket és alapvető összefüggéseket tár fel, rendszerez és elemez, önálló következtetéseket, kritikai észrevételeket fogalmaz meg, döntés-előkészítő javaslatokat készít, döntéseket hoz rutin- és részben ismeretlen - hazai, illetve nemzetközi - környezetben is.</w:t>
            </w:r>
          </w:p>
          <w:p w:rsidR="00507FA1" w:rsidRDefault="00507FA1" w:rsidP="00507FA1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Követi és értelmezi a világgazdasági, nemzetközi üzleti folyamatokat, a gazdaságpolitika és a szakterület szerint releváns, kapcsolódó szakpolitikák, jogszabályok változásait, azok hatásait, ezeket figyelembe veszi elemzései, javaslatai, döntései során.</w:t>
            </w:r>
          </w:p>
          <w:p w:rsidR="00507FA1" w:rsidRDefault="00507FA1" w:rsidP="00507FA1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Képes a gazdasági folyamatok, szervezeti események komplex következményeinek meghatározására.</w:t>
            </w:r>
          </w:p>
          <w:p w:rsidR="00D366ED" w:rsidRPr="00B21A18" w:rsidRDefault="00507FA1" w:rsidP="00507FA1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Képes a gyakorlati tudás, tapasztalatok megszerzését követően kis- és közepes vállalkozást, illetve gazdálkodó szervezetben szervezeti egységet vezetni.</w:t>
            </w:r>
          </w:p>
          <w:p w:rsidR="00D366ED" w:rsidRPr="00B21A18" w:rsidRDefault="00D366ED" w:rsidP="000603DB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633642" w:rsidRDefault="00633642" w:rsidP="00633642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 minőségi munkavégzés érdekében problémaérzékeny, proaktív magatartást tanúsít, projektben, csoportos feladatvégzés esetén konstruktív, együttműködő, kezdeményező.</w:t>
            </w:r>
          </w:p>
          <w:p w:rsidR="00633642" w:rsidRDefault="00633642" w:rsidP="00633642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Fogékony az új információk befogadására, az új szakmai ismeretekre és módszertanokra, nyitott az új, önálló és együttműködést igénylő feladatok, felelősségek vállalására.</w:t>
            </w:r>
          </w:p>
          <w:p w:rsidR="00633642" w:rsidRDefault="00633642" w:rsidP="00633642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Nyitott az adott munkakör, munkaszervezet, vállalkozás tágabb gazdasági, társadalmi környezetének változásai iránt, törekszik a változások követésére és megértésére.</w:t>
            </w:r>
          </w:p>
          <w:p w:rsidR="00633642" w:rsidRDefault="00633642" w:rsidP="00633642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Törekszik mások véleményét, az ágazati, regionális, nemzeti és európai értékeket (ide értve a társadalmi, szociális és ökológiai, fenntarthatósági szempontokat is) a döntések során felelősen figyelembe venni.</w:t>
            </w:r>
          </w:p>
          <w:p w:rsidR="00D366ED" w:rsidRPr="00B21A18" w:rsidRDefault="00D366ED" w:rsidP="00633642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633642" w:rsidRDefault="00633642" w:rsidP="00633642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Általános szakmai felügyelet mellett, önállóan végzi és szervezi a munkaköri leírásban meghatározott feladatokat.</w:t>
            </w:r>
          </w:p>
          <w:p w:rsidR="00633642" w:rsidRDefault="00633642" w:rsidP="00633642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Önállóan szervezi meg a gazdasági folyamatok elemzését, az adatok gyűjtését, rendszerezését, értékelését.</w:t>
            </w:r>
          </w:p>
          <w:p w:rsidR="00633642" w:rsidRDefault="00633642" w:rsidP="00633642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Az elemzéseiért, következtetéseiért és döntéseiért felelősséget vállal.</w:t>
            </w:r>
          </w:p>
          <w:p w:rsidR="00D366ED" w:rsidRPr="00B21A18" w:rsidRDefault="00633642" w:rsidP="00633642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Arial Unicode MS"/>
                <w:b/>
                <w:bCs/>
              </w:rPr>
            </w:pPr>
            <w:r>
              <w:t>- Önállóan kíséri figyelemmel a társadalmi-gazdasági-jogi környezet szakterületét érintő változásait.</w:t>
            </w:r>
            <w:r w:rsidR="00507FA1">
              <w:t>.</w:t>
            </w:r>
            <w:r w:rsidR="00427482">
              <w:t>.</w:t>
            </w:r>
          </w:p>
        </w:tc>
      </w:tr>
      <w:tr w:rsidR="00D366ED" w:rsidRPr="0087262E" w:rsidTr="00AA77DE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ED" w:rsidRPr="00B21A18" w:rsidRDefault="00D366ED" w:rsidP="00672306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kurzus </w:t>
            </w:r>
            <w:r w:rsidR="00EA6E76"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</w:t>
            </w:r>
            <w:r w:rsidR="00510ACC" w:rsidRPr="00B21A18">
              <w:rPr>
                <w:b/>
                <w:bCs/>
              </w:rPr>
              <w:t>lma</w:t>
            </w:r>
            <w:r w:rsidRPr="00B21A18">
              <w:rPr>
                <w:b/>
                <w:bCs/>
              </w:rPr>
              <w:t>, témakörei</w:t>
            </w:r>
          </w:p>
          <w:p w:rsidR="003719D3" w:rsidRPr="00B21A18" w:rsidRDefault="003719D3" w:rsidP="003719D3">
            <w:pPr>
              <w:jc w:val="both"/>
            </w:pPr>
          </w:p>
          <w:p w:rsidR="00D366ED" w:rsidRPr="00B21A18" w:rsidRDefault="00427482" w:rsidP="00427482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piacok globalizációja és a cégek nemzetközivé válása. A nemzetközi üzleti élet kulturális környezete. Etika, társadalmi felelősség, fenntarthatóság és irányítás. A nemzetközi kereskedelem és beruházások elmélete. A nemzeti környezet politikai és jogi rendszerei. Kormányzati beavatkozás, regionális integrációk. Feltörekvő piacok. A nemzetközi pénzügyi rendszer. A globális cégek pénzügyi menedzsmentje és számvitele. A globális vállalatok stratégiája és szervezete. Piaci lehetőségek értékelése a globális piacokon. Export és globális outsourcing. Külföldi </w:t>
            </w:r>
            <w:r>
              <w:lastRenderedPageBreak/>
              <w:t>működőtőke-befektetések, tulajdoni alapú együttműködések, licensz, franchise és egyéb szerződéses együttműködések. A globális cégek marketing és humán erőforrás menedzsmentje</w:t>
            </w:r>
          </w:p>
        </w:tc>
      </w:tr>
      <w:tr w:rsidR="00D366ED" w:rsidRPr="0087262E" w:rsidTr="000E6AC6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ED" w:rsidRPr="00B21A18" w:rsidRDefault="00D366ED" w:rsidP="000E6AC6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0E6AC6" w:rsidRDefault="006529C9" w:rsidP="000E6AC6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Előadások a legfontosabb aktuális </w:t>
            </w:r>
            <w:r w:rsidR="00C203A0">
              <w:t>nemzetközi üzleti folyamatokról heti bontásban</w:t>
            </w:r>
            <w:r w:rsidR="00427482">
              <w:t>.</w:t>
            </w:r>
            <w:r w:rsidR="0016154B">
              <w:t xml:space="preserve"> </w:t>
            </w:r>
          </w:p>
          <w:p w:rsidR="00F6525C" w:rsidRPr="00B21A18" w:rsidRDefault="00C203A0" w:rsidP="000E6AC6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Szeminárium keretében k</w:t>
            </w:r>
            <w:r w:rsidR="00F6525C">
              <w:t xml:space="preserve">iselőadás egy szabadon választott témából. </w:t>
            </w:r>
            <w:r>
              <w:t>Órai munka keretében c</w:t>
            </w:r>
            <w:r w:rsidR="00F6525C">
              <w:t>soportmunka, egyéni feladatmegoldás.</w:t>
            </w:r>
          </w:p>
          <w:p w:rsidR="000E6AC6" w:rsidRPr="00B21A18" w:rsidRDefault="000E6AC6" w:rsidP="000E6AC6"/>
        </w:tc>
      </w:tr>
      <w:tr w:rsidR="000E6AC6" w:rsidRPr="0087262E" w:rsidTr="000E6AC6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6" w:rsidRPr="00B21A18" w:rsidRDefault="000E6AC6" w:rsidP="000E6AC6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021833" w:rsidRDefault="00021833" w:rsidP="00021833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Levelező képzésben és  nappali képzésben gyakorlatok nélküli kurzusokon, vizsgakurzuson: vizsgaidőszakban írt vizsgadolgozat 100%</w:t>
            </w:r>
          </w:p>
          <w:p w:rsidR="00021833" w:rsidRDefault="00021833" w:rsidP="00021833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</w:p>
          <w:p w:rsidR="00021833" w:rsidRDefault="00021833" w:rsidP="00021833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nappali képzésben gyakorlatokkal rendelkező kurzusoknál a vizsgaidőszakban írt  vizsgadolgozattal 70%, a szemináriumi munkával 30% szerezhető</w:t>
            </w:r>
          </w:p>
          <w:p w:rsidR="00021833" w:rsidRDefault="00021833" w:rsidP="00021833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Ponthatárok 0–50% elégtelen (1), 51– 61%, elégséges (2), 62– 74%, közepes (3), 75– 87%, jó (4), 88–100% jeles (5).</w:t>
            </w:r>
          </w:p>
          <w:p w:rsidR="00021833" w:rsidRDefault="00021833" w:rsidP="00021833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Az előadásokon történő aktív részvétellel további 5% szerezhető.</w:t>
            </w:r>
          </w:p>
          <w:p w:rsidR="000E6AC6" w:rsidRPr="00B21A18" w:rsidRDefault="00021833" w:rsidP="00021833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Jegymegajánlásra csak különleges esetben, a tárgy témaköréhez kapcsolódó jelentős többletteljesítmény esetén van mód, legfeljebb a teljes hallgatói létszám 5%-áig.</w:t>
            </w:r>
          </w:p>
        </w:tc>
      </w:tr>
      <w:tr w:rsidR="000E6AC6" w:rsidRPr="0087262E" w:rsidTr="00AA77DE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E2" w:rsidRDefault="00D44BE2" w:rsidP="00D44BE2">
            <w:pPr>
              <w:rPr>
                <w:b/>
                <w:bCs/>
              </w:rPr>
            </w:pPr>
            <w:r>
              <w:rPr>
                <w:b/>
                <w:bCs/>
              </w:rPr>
              <w:t>Kötelező szakirodalom:</w:t>
            </w:r>
          </w:p>
          <w:p w:rsidR="00D44BE2" w:rsidRDefault="00D44BE2" w:rsidP="00D44BE2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Blahó András, Czakó Erzsébet, Poór József (szerkesztők): Nemzetközi menedzsment, Akadémiai Kiadó, Budapest, 2015, kijelölt részek, ISBN 9789630595360</w:t>
            </w:r>
          </w:p>
          <w:p w:rsidR="00533C6F" w:rsidRDefault="00533C6F" w:rsidP="00533C6F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Csáki György: Nemzetközi gazdaságtan. Napvilág Kiadó 2017. (a kijelölt fejezetek), ISBN: 9789633841761</w:t>
            </w:r>
          </w:p>
          <w:p w:rsidR="00D44BE2" w:rsidRDefault="00D44BE2" w:rsidP="00D44BE2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Az előadásokon és a szemináriumokon elhangzottak </w:t>
            </w:r>
          </w:p>
          <w:p w:rsidR="00D44BE2" w:rsidRDefault="00D44BE2" w:rsidP="00D44BE2">
            <w:pPr>
              <w:rPr>
                <w:b/>
                <w:bCs/>
              </w:rPr>
            </w:pPr>
            <w:r>
              <w:rPr>
                <w:b/>
                <w:bCs/>
              </w:rPr>
              <w:t>Ajánlott szakirodalom:</w:t>
            </w:r>
          </w:p>
          <w:p w:rsidR="00D44BE2" w:rsidRDefault="00D44BE2" w:rsidP="00D44BE2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Külgazdaság c. folyóirat számai</w:t>
            </w:r>
          </w:p>
          <w:p w:rsidR="00657173" w:rsidRPr="00B21A18" w:rsidRDefault="00D44BE2" w:rsidP="00D44BE2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S. Tamer Cavusgil, Gary Knight, John R. Riesenberger (2017): International Business: The New Realities, Global ed., 4th edition, Boston: Pearson, [2017], ISBN: 9781292152943</w:t>
            </w:r>
          </w:p>
        </w:tc>
      </w:tr>
    </w:tbl>
    <w:p w:rsidR="00822C8A" w:rsidRDefault="00822C8A" w:rsidP="00282AFF"/>
    <w:p w:rsidR="00510ACC" w:rsidRDefault="00510ACC" w:rsidP="00282AFF"/>
    <w:p w:rsidR="00510ACC" w:rsidRDefault="00510ACC" w:rsidP="00282AF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7534"/>
      </w:tblGrid>
      <w:tr w:rsidR="00510ACC" w:rsidRPr="007317D2" w:rsidTr="005230D0">
        <w:tc>
          <w:tcPr>
            <w:tcW w:w="9024" w:type="dxa"/>
            <w:gridSpan w:val="2"/>
            <w:shd w:val="clear" w:color="auto" w:fill="auto"/>
          </w:tcPr>
          <w:p w:rsidR="00510ACC" w:rsidRPr="007317D2" w:rsidRDefault="00510ACC" w:rsidP="006177F8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5230D0" w:rsidRPr="007317D2" w:rsidTr="005230D0">
        <w:tc>
          <w:tcPr>
            <w:tcW w:w="1490" w:type="dxa"/>
            <w:vMerge w:val="restart"/>
            <w:shd w:val="clear" w:color="auto" w:fill="auto"/>
          </w:tcPr>
          <w:p w:rsidR="00657173" w:rsidRPr="007317D2" w:rsidRDefault="00657173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657173" w:rsidRPr="00BF1195" w:rsidRDefault="0015342E" w:rsidP="00B21A18">
            <w:pPr>
              <w:jc w:val="both"/>
            </w:pPr>
            <w:r w:rsidRPr="0015342E">
              <w:t>Bevezetés, A nemzetközi üzleti ismeretek tárgyköre</w:t>
            </w:r>
          </w:p>
        </w:tc>
      </w:tr>
      <w:tr w:rsidR="005230D0" w:rsidRPr="007317D2" w:rsidTr="005230D0">
        <w:tc>
          <w:tcPr>
            <w:tcW w:w="1490" w:type="dxa"/>
            <w:vMerge/>
            <w:shd w:val="clear" w:color="auto" w:fill="auto"/>
          </w:tcPr>
          <w:p w:rsidR="00657173" w:rsidRPr="007317D2" w:rsidRDefault="00657173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657173" w:rsidRPr="00BF1195" w:rsidRDefault="00B4082C" w:rsidP="0015342E">
            <w:pPr>
              <w:jc w:val="both"/>
            </w:pPr>
            <w:r>
              <w:t>TE</w:t>
            </w:r>
            <w:r w:rsidR="001F21F8">
              <w:t>*</w:t>
            </w:r>
            <w:r w:rsidR="00254881">
              <w:t xml:space="preserve"> </w:t>
            </w:r>
            <w:r w:rsidR="00BE06B3" w:rsidRPr="00BE06B3">
              <w:t>A nemzetközi üzleti ismeretek kulcskoncepcióinak felvázolása</w:t>
            </w:r>
            <w:r w:rsidR="00BE06B3">
              <w:t xml:space="preserve">. </w:t>
            </w:r>
            <w:r w:rsidR="00BE06B3" w:rsidRPr="00BE06B3">
              <w:t>Megvilágítani, miben különböznek a nemzetközi tranzakciók a hazaiaktól</w:t>
            </w:r>
            <w:r w:rsidR="00BE06B3">
              <w:t xml:space="preserve">. </w:t>
            </w:r>
            <w:r w:rsidR="00BE06B3" w:rsidRPr="00BE06B3">
              <w:t>Azonosítani a nemzetközi üzleti élet legfontosabb szereplőit</w:t>
            </w:r>
            <w:r w:rsidR="00BE06B3">
              <w:t xml:space="preserve">. </w:t>
            </w:r>
            <w:r w:rsidR="00BE06B3" w:rsidRPr="00BE06B3">
              <w:t>Leírni a cégek nemzetközivé válásának legfontosabb okait</w:t>
            </w:r>
            <w:r w:rsidR="00BE06B3">
              <w:t xml:space="preserve">. </w:t>
            </w:r>
            <w:r w:rsidR="00BE06B3" w:rsidRPr="00BE06B3">
              <w:t>Miért érdemes nemzetközi üzleti ismereteket tanulni?</w:t>
            </w:r>
          </w:p>
        </w:tc>
      </w:tr>
      <w:tr w:rsidR="005230D0" w:rsidRPr="007317D2" w:rsidTr="005230D0">
        <w:tc>
          <w:tcPr>
            <w:tcW w:w="1490" w:type="dxa"/>
            <w:vMerge w:val="restart"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15342E" w:rsidP="00B21A18">
            <w:pPr>
              <w:jc w:val="both"/>
            </w:pPr>
            <w:r w:rsidRPr="0015342E">
              <w:t>A piacok globalizációja és a cégek nemzetközivé válása</w:t>
            </w:r>
          </w:p>
        </w:tc>
      </w:tr>
      <w:tr w:rsidR="005230D0" w:rsidRPr="007317D2" w:rsidTr="005230D0">
        <w:tc>
          <w:tcPr>
            <w:tcW w:w="1490" w:type="dxa"/>
            <w:vMerge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B4082C" w:rsidP="00BE06B3">
            <w:pPr>
              <w:jc w:val="both"/>
            </w:pPr>
            <w:r>
              <w:t>TE</w:t>
            </w:r>
            <w:r w:rsidR="00254881">
              <w:t xml:space="preserve">: </w:t>
            </w:r>
            <w:r w:rsidR="00BE06B3" w:rsidRPr="00BE06B3">
              <w:t>A piacok globalizációja mint gondolati keretrendszer</w:t>
            </w:r>
            <w:r w:rsidR="00BE06B3">
              <w:t xml:space="preserve">. </w:t>
            </w:r>
            <w:r w:rsidR="00BE06B3" w:rsidRPr="00BE06B3">
              <w:t>A globalizáció előmozdítói</w:t>
            </w:r>
            <w:r w:rsidR="00BE06B3">
              <w:t xml:space="preserve">. </w:t>
            </w:r>
            <w:r w:rsidR="00BE06B3" w:rsidRPr="00BE06B3">
              <w:t>A technológiai fejlődés és a globalizáció</w:t>
            </w:r>
            <w:r w:rsidR="00BE06B3">
              <w:t xml:space="preserve">. </w:t>
            </w:r>
            <w:r w:rsidR="00BE06B3" w:rsidRPr="00BE06B3">
              <w:t>A globalizáció dimenziói</w:t>
            </w:r>
            <w:r w:rsidR="00BE06B3">
              <w:t xml:space="preserve">. </w:t>
            </w:r>
            <w:r w:rsidR="00BE06B3" w:rsidRPr="00BE06B3">
              <w:t>A piacok globalizációjának vállalati szintű következményei</w:t>
            </w:r>
            <w:r w:rsidR="00BE06B3">
              <w:t xml:space="preserve">. </w:t>
            </w:r>
            <w:r w:rsidR="00BE06B3" w:rsidRPr="00BE06B3">
              <w:t>A globalizáció társadalmi következményei</w:t>
            </w:r>
            <w:r w:rsidR="00BE06B3">
              <w:t>.</w:t>
            </w:r>
          </w:p>
        </w:tc>
      </w:tr>
      <w:tr w:rsidR="005230D0" w:rsidRPr="007317D2" w:rsidTr="005230D0">
        <w:tc>
          <w:tcPr>
            <w:tcW w:w="1490" w:type="dxa"/>
            <w:vMerge w:val="restart"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15342E" w:rsidP="00B21A18">
            <w:pPr>
              <w:jc w:val="both"/>
            </w:pPr>
            <w:r w:rsidRPr="0015342E">
              <w:t>A nemzetközi üzleti élet kulturális környezete</w:t>
            </w:r>
          </w:p>
        </w:tc>
      </w:tr>
      <w:tr w:rsidR="005230D0" w:rsidRPr="007317D2" w:rsidTr="005230D0">
        <w:tc>
          <w:tcPr>
            <w:tcW w:w="1490" w:type="dxa"/>
            <w:vMerge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B4082C" w:rsidP="0015342E">
            <w:pPr>
              <w:jc w:val="both"/>
            </w:pPr>
            <w:r>
              <w:t>TE</w:t>
            </w:r>
            <w:r w:rsidR="00254881">
              <w:t xml:space="preserve">: </w:t>
            </w:r>
            <w:r w:rsidR="0015342E" w:rsidRPr="0015342E">
              <w:t>Kultúra és kulturális kockázat</w:t>
            </w:r>
            <w:r w:rsidR="0015342E">
              <w:t>, a</w:t>
            </w:r>
            <w:r w:rsidR="0015342E" w:rsidRPr="0015342E">
              <w:t xml:space="preserve"> kultúra dimenziói</w:t>
            </w:r>
            <w:r w:rsidR="0015342E">
              <w:t>, a</w:t>
            </w:r>
            <w:r w:rsidR="0015342E" w:rsidRPr="0015342E">
              <w:t xml:space="preserve"> nyelv és a vallás szerepe a kultúrában</w:t>
            </w:r>
            <w:r w:rsidR="0015342E">
              <w:t>, a</w:t>
            </w:r>
            <w:r w:rsidR="0015342E" w:rsidRPr="0015342E">
              <w:t xml:space="preserve"> kultúra hatása a nemzetközi üzleti kapcsolatokra</w:t>
            </w:r>
            <w:r w:rsidR="0015342E">
              <w:t>, a</w:t>
            </w:r>
            <w:r w:rsidR="0015342E" w:rsidRPr="0015342E">
              <w:t xml:space="preserve"> kultúra modelljei és magyarázatai</w:t>
            </w:r>
            <w:r w:rsidR="0015342E">
              <w:t>, a</w:t>
            </w:r>
            <w:r w:rsidR="0015342E" w:rsidRPr="0015342E">
              <w:t xml:space="preserve"> kultúra hatása a menedzsment folyamatokra</w:t>
            </w:r>
          </w:p>
        </w:tc>
      </w:tr>
      <w:tr w:rsidR="005230D0" w:rsidRPr="007317D2" w:rsidTr="005230D0">
        <w:tc>
          <w:tcPr>
            <w:tcW w:w="1490" w:type="dxa"/>
            <w:vMerge w:val="restart"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04563" w:rsidP="00B21A18">
            <w:pPr>
              <w:jc w:val="both"/>
            </w:pPr>
            <w:r w:rsidRPr="00304563">
              <w:t>Etika, társadalmi felelősség, fenntarthatóság és irányítás</w:t>
            </w:r>
          </w:p>
        </w:tc>
      </w:tr>
      <w:tr w:rsidR="005230D0" w:rsidRPr="007317D2" w:rsidTr="005230D0">
        <w:tc>
          <w:tcPr>
            <w:tcW w:w="1490" w:type="dxa"/>
            <w:vMerge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04563" w:rsidP="00304563">
            <w:pPr>
              <w:jc w:val="both"/>
            </w:pPr>
            <w:r>
              <w:t>TE: Az etikus viselkedés és jelentősége a nemzetközi üzleti életben. Etikai kihívások a nemzetközi üzleti kapcsolatokban. A vállalatok társadalmi felelőssége. Fenntarthatóság. A vállalati kormányzás szerepe. Az etikus viselkedés keretrendszere.</w:t>
            </w:r>
          </w:p>
        </w:tc>
      </w:tr>
      <w:tr w:rsidR="005230D0" w:rsidRPr="007317D2" w:rsidTr="005230D0">
        <w:tc>
          <w:tcPr>
            <w:tcW w:w="1490" w:type="dxa"/>
            <w:vMerge w:val="restart"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04563" w:rsidP="00B21A18">
            <w:pPr>
              <w:jc w:val="both"/>
            </w:pPr>
            <w:r w:rsidRPr="00304563">
              <w:t>A nemzetközi kereskedelem és beruházások elmélete</w:t>
            </w:r>
          </w:p>
        </w:tc>
      </w:tr>
      <w:tr w:rsidR="005230D0" w:rsidRPr="007317D2" w:rsidTr="005230D0">
        <w:tc>
          <w:tcPr>
            <w:tcW w:w="1490" w:type="dxa"/>
            <w:vMerge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04563" w:rsidP="00304563">
            <w:pPr>
              <w:jc w:val="both"/>
            </w:pPr>
            <w:r>
              <w:t xml:space="preserve">TE: </w:t>
            </w:r>
            <w:r w:rsidRPr="00304563">
              <w:t>Miért kereskednek a nemzetek?</w:t>
            </w:r>
            <w:r>
              <w:t xml:space="preserve"> </w:t>
            </w:r>
            <w:r w:rsidRPr="00304563">
              <w:t>Hogyan növelhetik a nemzetek versenyképességüket?</w:t>
            </w:r>
            <w:r>
              <w:t xml:space="preserve"> </w:t>
            </w:r>
            <w:r w:rsidRPr="00304563">
              <w:t>Miért és hogyan válnak a vállalatok nemzetközivé?</w:t>
            </w:r>
            <w:r>
              <w:t xml:space="preserve"> </w:t>
            </w:r>
            <w:r w:rsidRPr="00304563">
              <w:t>Milyen stratégiákkal szerezhet a nemzetközivé váló vállalat versenyelőnyöket és hogyan tarthatja fenn azokat?</w:t>
            </w:r>
          </w:p>
        </w:tc>
      </w:tr>
      <w:tr w:rsidR="005230D0" w:rsidRPr="007317D2" w:rsidTr="005230D0">
        <w:tc>
          <w:tcPr>
            <w:tcW w:w="1490" w:type="dxa"/>
            <w:vMerge w:val="restart"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D3578" w:rsidP="00B21A18">
            <w:pPr>
              <w:jc w:val="both"/>
            </w:pPr>
            <w:r w:rsidRPr="003D3578">
              <w:t>A nemzeti környezet politikai és jogi rendszerei</w:t>
            </w:r>
          </w:p>
        </w:tc>
      </w:tr>
      <w:tr w:rsidR="005230D0" w:rsidRPr="007317D2" w:rsidTr="005230D0">
        <w:tc>
          <w:tcPr>
            <w:tcW w:w="1490" w:type="dxa"/>
            <w:vMerge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D3578" w:rsidP="003D3578">
            <w:pPr>
              <w:jc w:val="both"/>
            </w:pPr>
            <w:r>
              <w:t xml:space="preserve">TE: </w:t>
            </w:r>
            <w:r w:rsidRPr="003D3578">
              <w:t>A politikai és a jogi környezet</w:t>
            </w:r>
            <w:r>
              <w:t xml:space="preserve">. </w:t>
            </w:r>
            <w:r w:rsidRPr="003D3578">
              <w:t>Politikai rendszerek</w:t>
            </w:r>
            <w:r>
              <w:t xml:space="preserve">. </w:t>
            </w:r>
            <w:r w:rsidRPr="003D3578">
              <w:t>Jogrendszerek</w:t>
            </w:r>
            <w:r>
              <w:t xml:space="preserve">. </w:t>
            </w:r>
            <w:r w:rsidRPr="003D3578">
              <w:t>A politikai és jogi rendszerek szereplői</w:t>
            </w:r>
            <w:r>
              <w:t xml:space="preserve">. </w:t>
            </w:r>
            <w:r w:rsidRPr="003D3578">
              <w:t>A politikai rendszerből fakadó országkockázati típusok azonosítása</w:t>
            </w:r>
            <w:r>
              <w:t xml:space="preserve">. </w:t>
            </w:r>
            <w:r w:rsidRPr="003D3578">
              <w:t>A jogrendszerből fakadó országkockázati típusok azonosítása</w:t>
            </w:r>
            <w:r>
              <w:t xml:space="preserve">. </w:t>
            </w:r>
            <w:r w:rsidRPr="003D3578">
              <w:t>Az országkockázat menedzsmentje</w:t>
            </w:r>
          </w:p>
        </w:tc>
      </w:tr>
      <w:tr w:rsidR="005230D0" w:rsidRPr="007317D2" w:rsidTr="005230D0">
        <w:tc>
          <w:tcPr>
            <w:tcW w:w="1490" w:type="dxa"/>
            <w:vMerge w:val="restart"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D3578" w:rsidP="00B21A18">
            <w:pPr>
              <w:jc w:val="both"/>
            </w:pPr>
            <w:r w:rsidRPr="003D3578">
              <w:t>Kormányzati beavatkozás, regionális integrációk</w:t>
            </w:r>
          </w:p>
        </w:tc>
      </w:tr>
      <w:tr w:rsidR="005230D0" w:rsidRPr="007317D2" w:rsidTr="005230D0">
        <w:tc>
          <w:tcPr>
            <w:tcW w:w="1490" w:type="dxa"/>
            <w:vMerge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D3578" w:rsidP="003D3578">
            <w:pPr>
              <w:jc w:val="both"/>
            </w:pPr>
            <w:r>
              <w:t xml:space="preserve">TE: </w:t>
            </w:r>
            <w:r w:rsidRPr="003D3578">
              <w:t>A kormányzati beavatkozások természete</w:t>
            </w:r>
            <w:r>
              <w:t xml:space="preserve">. </w:t>
            </w:r>
            <w:r w:rsidRPr="003D3578">
              <w:t>A kormányzati beavatkozás eszközrendszere</w:t>
            </w:r>
            <w:r>
              <w:t xml:space="preserve">. </w:t>
            </w:r>
            <w:r w:rsidRPr="003D3578">
              <w:t xml:space="preserve"> A kormányzati beavatkozások evolúciója és következményei</w:t>
            </w:r>
            <w:r>
              <w:t xml:space="preserve">. </w:t>
            </w:r>
            <w:r w:rsidRPr="003D3578">
              <w:t>A vállalatok lehetséges reakciói a kormányzati beavatkozásokra</w:t>
            </w:r>
            <w:r>
              <w:t xml:space="preserve">. </w:t>
            </w:r>
            <w:r w:rsidRPr="003D3578">
              <w:t>A regionális integráció és gazdasági blokkok</w:t>
            </w:r>
            <w:r>
              <w:t xml:space="preserve">. </w:t>
            </w:r>
            <w:r w:rsidRPr="003D3578">
              <w:t xml:space="preserve">A vezető </w:t>
            </w:r>
            <w:r w:rsidRPr="003D3578">
              <w:lastRenderedPageBreak/>
              <w:t>gazdasági blokkok azonosítása</w:t>
            </w:r>
            <w:r>
              <w:t xml:space="preserve">. </w:t>
            </w:r>
            <w:r w:rsidRPr="003D3578">
              <w:t>A regionális integráció előnyeinek és következményeinek azonosítása</w:t>
            </w:r>
            <w:r>
              <w:t>.</w:t>
            </w:r>
          </w:p>
        </w:tc>
      </w:tr>
      <w:tr w:rsidR="005230D0" w:rsidRPr="007317D2" w:rsidTr="005230D0">
        <w:tc>
          <w:tcPr>
            <w:tcW w:w="1490" w:type="dxa"/>
            <w:vMerge w:val="restart"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D3578" w:rsidP="00B21A18">
            <w:pPr>
              <w:jc w:val="both"/>
            </w:pPr>
            <w:r w:rsidRPr="003D3578">
              <w:t>Feltörekvő piacok.</w:t>
            </w:r>
          </w:p>
        </w:tc>
      </w:tr>
      <w:tr w:rsidR="005230D0" w:rsidRPr="007317D2" w:rsidTr="005230D0">
        <w:tc>
          <w:tcPr>
            <w:tcW w:w="1490" w:type="dxa"/>
            <w:vMerge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E30A81" w:rsidP="00E30A81">
            <w:pPr>
              <w:jc w:val="both"/>
            </w:pPr>
            <w:r>
              <w:t xml:space="preserve">TE: </w:t>
            </w:r>
            <w:r w:rsidRPr="00E30A81">
              <w:t>A fejlett, a fejlődő és a feltörekvő piacok</w:t>
            </w:r>
            <w:r>
              <w:t xml:space="preserve">. </w:t>
            </w:r>
            <w:r w:rsidRPr="00E30A81">
              <w:t>A feltörekvő piacok vonzereje a nemzetközi üzleti élet számára</w:t>
            </w:r>
            <w:r>
              <w:t xml:space="preserve">. </w:t>
            </w:r>
            <w:r w:rsidRPr="00E30A81">
              <w:t>A feltörekvő piacok tényleges piacpotenciáljának értékelése</w:t>
            </w:r>
            <w:r>
              <w:t xml:space="preserve">. </w:t>
            </w:r>
            <w:r w:rsidRPr="00E30A81">
              <w:t>A feltörekvő piacok kockázatainak és kihívásainak értékelése</w:t>
            </w:r>
            <w:r>
              <w:t xml:space="preserve">. </w:t>
            </w:r>
            <w:r w:rsidRPr="00E30A81">
              <w:t>Sikerstratégiák feltörekvő piacokon</w:t>
            </w:r>
            <w:r>
              <w:t xml:space="preserve">. </w:t>
            </w:r>
            <w:r w:rsidRPr="00E30A81">
              <w:t>A vállalat társadalmi felelőssége, a fenntarthatóság és a globális szegénységi válság</w:t>
            </w:r>
            <w:r>
              <w:t>.</w:t>
            </w:r>
          </w:p>
        </w:tc>
      </w:tr>
      <w:tr w:rsidR="005230D0" w:rsidRPr="007317D2" w:rsidTr="005230D0">
        <w:tc>
          <w:tcPr>
            <w:tcW w:w="1490" w:type="dxa"/>
            <w:vMerge w:val="restart"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B7823" w:rsidP="00254881">
            <w:pPr>
              <w:jc w:val="both"/>
            </w:pPr>
            <w:r>
              <w:t>Számonkérési hét</w:t>
            </w:r>
          </w:p>
        </w:tc>
      </w:tr>
      <w:tr w:rsidR="005230D0" w:rsidRPr="007317D2" w:rsidTr="005230D0">
        <w:tc>
          <w:tcPr>
            <w:tcW w:w="1490" w:type="dxa"/>
            <w:vMerge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E30A81" w:rsidP="003B7823">
            <w:pPr>
              <w:jc w:val="both"/>
            </w:pPr>
            <w:r>
              <w:t>TE:</w:t>
            </w:r>
            <w:r w:rsidR="003B7823">
              <w:t xml:space="preserve"> - </w:t>
            </w:r>
          </w:p>
        </w:tc>
      </w:tr>
      <w:tr w:rsidR="005230D0" w:rsidRPr="007317D2" w:rsidTr="005230D0">
        <w:tc>
          <w:tcPr>
            <w:tcW w:w="1490" w:type="dxa"/>
            <w:vMerge w:val="restart"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D3578" w:rsidP="00B21A18">
            <w:pPr>
              <w:jc w:val="both"/>
            </w:pPr>
            <w:r w:rsidRPr="003D3578">
              <w:t>Export és globális outsourcing</w:t>
            </w:r>
          </w:p>
        </w:tc>
      </w:tr>
      <w:tr w:rsidR="005230D0" w:rsidRPr="007317D2" w:rsidTr="005230D0">
        <w:tc>
          <w:tcPr>
            <w:tcW w:w="1490" w:type="dxa"/>
            <w:vMerge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E30A81" w:rsidP="00B4508F">
            <w:pPr>
              <w:jc w:val="both"/>
            </w:pPr>
            <w:r>
              <w:t xml:space="preserve">TE: </w:t>
            </w:r>
            <w:r w:rsidR="00B4508F" w:rsidRPr="00B4508F">
              <w:t>Az export mint külpiacra lépési stratégia</w:t>
            </w:r>
            <w:r w:rsidR="00B4508F">
              <w:t xml:space="preserve">. </w:t>
            </w:r>
            <w:r w:rsidR="00B4508F" w:rsidRPr="00B4508F">
              <w:t>Az export-import tranzakciók menedzsmentje</w:t>
            </w:r>
            <w:r w:rsidR="00B4508F">
              <w:t xml:space="preserve">. </w:t>
            </w:r>
            <w:r w:rsidR="00B4508F" w:rsidRPr="00B4508F">
              <w:t>A külföldi közvetítők azonosítása és a velük végzett munka</w:t>
            </w:r>
            <w:r w:rsidR="00B4508F">
              <w:t xml:space="preserve">. </w:t>
            </w:r>
            <w:r w:rsidR="00B4508F" w:rsidRPr="00B4508F">
              <w:t>Az outsourcing, a global sourcing és az offshoring</w:t>
            </w:r>
            <w:r w:rsidR="00B4508F">
              <w:t xml:space="preserve">. </w:t>
            </w:r>
            <w:r w:rsidR="00B4508F" w:rsidRPr="00B4508F">
              <w:t>A global sourcing előnyei és kockázatai</w:t>
            </w:r>
            <w:r w:rsidR="00B4508F">
              <w:t xml:space="preserve">. </w:t>
            </w:r>
            <w:r w:rsidR="00B4508F" w:rsidRPr="00B4508F">
              <w:t>A global sourcing stratégiái és az értéklánc menedzsment</w:t>
            </w:r>
          </w:p>
        </w:tc>
      </w:tr>
      <w:tr w:rsidR="005230D0" w:rsidRPr="007317D2" w:rsidTr="005230D0">
        <w:tc>
          <w:tcPr>
            <w:tcW w:w="1490" w:type="dxa"/>
            <w:vMerge w:val="restart"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D3578" w:rsidP="00B21A18">
            <w:pPr>
              <w:jc w:val="both"/>
            </w:pPr>
            <w:r w:rsidRPr="003D3578">
              <w:t>Külföldi közvetlen tőkebefektetések és vállalati együttműködések</w:t>
            </w:r>
          </w:p>
        </w:tc>
      </w:tr>
      <w:tr w:rsidR="005230D0" w:rsidRPr="007317D2" w:rsidTr="005230D0">
        <w:tc>
          <w:tcPr>
            <w:tcW w:w="1490" w:type="dxa"/>
            <w:vMerge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C1BD2" w:rsidP="003C1BD2">
            <w:pPr>
              <w:jc w:val="both"/>
            </w:pPr>
            <w:r>
              <w:t>TE: Nemzetközi tőkeáramlás és együttműködés. Az FDI jellemzői. Az FDI és a vállalati együttműködések jellemzői. A külföldi közvetlen tőkebefektetések típusai. A nemzetközi vállalati együttműködések. A kiskereskedői tapasztalatok fontossága a külpiacokon</w:t>
            </w:r>
          </w:p>
        </w:tc>
      </w:tr>
      <w:tr w:rsidR="005230D0" w:rsidRPr="007317D2" w:rsidTr="005230D0">
        <w:tc>
          <w:tcPr>
            <w:tcW w:w="1490" w:type="dxa"/>
            <w:vMerge w:val="restart"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D3578" w:rsidP="00B21A18">
            <w:pPr>
              <w:jc w:val="both"/>
            </w:pPr>
            <w:r w:rsidRPr="003D3578">
              <w:t>Licencia, franchise és egyéb szerződéses stratégiák</w:t>
            </w:r>
          </w:p>
        </w:tc>
      </w:tr>
      <w:tr w:rsidR="005230D0" w:rsidRPr="007317D2" w:rsidTr="005230D0">
        <w:tc>
          <w:tcPr>
            <w:tcW w:w="1490" w:type="dxa"/>
            <w:vMerge/>
            <w:shd w:val="clear" w:color="auto" w:fill="auto"/>
          </w:tcPr>
          <w:p w:rsidR="00B869E4" w:rsidRPr="007317D2" w:rsidRDefault="00B869E4" w:rsidP="00B21A18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B869E4" w:rsidRPr="00BF1195" w:rsidRDefault="003C1BD2" w:rsidP="003C1BD2">
            <w:pPr>
              <w:jc w:val="both"/>
            </w:pPr>
            <w:r>
              <w:t xml:space="preserve">TE: </w:t>
            </w:r>
            <w:r w:rsidRPr="003C1BD2">
              <w:t>Szerződéses belépési stratégiák</w:t>
            </w:r>
            <w:r>
              <w:t xml:space="preserve">. </w:t>
            </w:r>
            <w:r w:rsidRPr="003C1BD2">
              <w:t>Licencátadás mint belépési stratégia</w:t>
            </w:r>
            <w:r>
              <w:t xml:space="preserve">. </w:t>
            </w:r>
            <w:r w:rsidRPr="003C1BD2">
              <w:t>A licencátadás előnyei és hátrányai</w:t>
            </w:r>
            <w:r>
              <w:t xml:space="preserve">. </w:t>
            </w:r>
            <w:r w:rsidRPr="003C1BD2">
              <w:t>A franchise mint belépési stratégia</w:t>
            </w:r>
            <w:r>
              <w:t xml:space="preserve">. </w:t>
            </w:r>
            <w:r w:rsidRPr="003C1BD2">
              <w:t>A franchise előnyei és hátrányai</w:t>
            </w:r>
            <w:r>
              <w:t xml:space="preserve">. </w:t>
            </w:r>
            <w:r w:rsidRPr="003C1BD2">
              <w:t xml:space="preserve"> Egyéb szerződéses belépési stratégiák</w:t>
            </w:r>
            <w:r>
              <w:t xml:space="preserve">. </w:t>
            </w:r>
            <w:r w:rsidRPr="003C1BD2">
              <w:t>A szellemi tulajdonjogok megsértése mint globális probléma</w:t>
            </w:r>
            <w:r>
              <w:t>.</w:t>
            </w:r>
          </w:p>
        </w:tc>
      </w:tr>
      <w:tr w:rsidR="005230D0" w:rsidRPr="007317D2" w:rsidTr="005230D0">
        <w:tc>
          <w:tcPr>
            <w:tcW w:w="1490" w:type="dxa"/>
            <w:vMerge w:val="restart"/>
            <w:shd w:val="clear" w:color="auto" w:fill="auto"/>
          </w:tcPr>
          <w:p w:rsidR="005230D0" w:rsidRPr="007317D2" w:rsidRDefault="005230D0" w:rsidP="005230D0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5230D0" w:rsidRPr="00BF1195" w:rsidRDefault="005230D0" w:rsidP="005230D0">
            <w:pPr>
              <w:jc w:val="both"/>
            </w:pPr>
            <w:r>
              <w:t>A globális cégek marketingmenedzsmentje</w:t>
            </w:r>
          </w:p>
        </w:tc>
      </w:tr>
      <w:tr w:rsidR="005230D0" w:rsidRPr="007317D2" w:rsidTr="005230D0">
        <w:tc>
          <w:tcPr>
            <w:tcW w:w="1490" w:type="dxa"/>
            <w:vMerge/>
            <w:shd w:val="clear" w:color="auto" w:fill="auto"/>
          </w:tcPr>
          <w:p w:rsidR="005230D0" w:rsidRPr="007317D2" w:rsidRDefault="005230D0" w:rsidP="005230D0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5230D0" w:rsidRPr="00BF1195" w:rsidRDefault="005230D0" w:rsidP="005230D0">
            <w:pPr>
              <w:jc w:val="both"/>
            </w:pPr>
            <w:r>
              <w:t>TE: A globális piacszegmentáció. Standardizáció és adaptáció a nemzetközi marketingben. Globális márkázás és termékfejlesztés. Nemzetközi árazás. Nemzetközi marketingkommunikáció. Nemzetközi disztribúció.</w:t>
            </w:r>
          </w:p>
        </w:tc>
      </w:tr>
      <w:tr w:rsidR="003B7823" w:rsidRPr="007317D2" w:rsidTr="005230D0">
        <w:tc>
          <w:tcPr>
            <w:tcW w:w="1490" w:type="dxa"/>
            <w:vMerge w:val="restart"/>
            <w:shd w:val="clear" w:color="auto" w:fill="auto"/>
          </w:tcPr>
          <w:p w:rsidR="003B7823" w:rsidRPr="007317D2" w:rsidRDefault="003B7823" w:rsidP="003B7823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3B7823" w:rsidRPr="00BF1195" w:rsidRDefault="003B7823" w:rsidP="003B7823">
            <w:pPr>
              <w:jc w:val="both"/>
            </w:pPr>
            <w:r w:rsidRPr="003D3578">
              <w:t>Piaci lehetőségek értékelése a globális piacokon</w:t>
            </w:r>
          </w:p>
        </w:tc>
      </w:tr>
      <w:tr w:rsidR="003B7823" w:rsidRPr="007317D2" w:rsidTr="005230D0">
        <w:trPr>
          <w:trHeight w:val="70"/>
        </w:trPr>
        <w:tc>
          <w:tcPr>
            <w:tcW w:w="1490" w:type="dxa"/>
            <w:vMerge/>
            <w:shd w:val="clear" w:color="auto" w:fill="auto"/>
          </w:tcPr>
          <w:p w:rsidR="003B7823" w:rsidRPr="007317D2" w:rsidRDefault="003B7823" w:rsidP="003B7823">
            <w:pPr>
              <w:numPr>
                <w:ilvl w:val="0"/>
                <w:numId w:val="50"/>
              </w:numPr>
            </w:pPr>
          </w:p>
        </w:tc>
        <w:tc>
          <w:tcPr>
            <w:tcW w:w="7534" w:type="dxa"/>
            <w:shd w:val="clear" w:color="auto" w:fill="auto"/>
          </w:tcPr>
          <w:p w:rsidR="003B7823" w:rsidRPr="00BF1195" w:rsidRDefault="003B7823" w:rsidP="003B7823">
            <w:pPr>
              <w:jc w:val="both"/>
            </w:pPr>
            <w:r>
              <w:t>TE: A vállalat külföldi piacokra való lépésével kapcsolatos jellemzők elemzése. A termékek és szolgáltatások külföldi piacokon történő értékesítésre való alkalmassága. A célországok azonosítása. A piacpotenciál elemzése. Külföldi partnerválasztás. A vállalat értékesítési potenciáljának becslése.</w:t>
            </w:r>
          </w:p>
        </w:tc>
      </w:tr>
    </w:tbl>
    <w:p w:rsidR="00510ACC" w:rsidRDefault="001F21F8" w:rsidP="00510ACC">
      <w:r>
        <w:t>*TE tanulási eredmények</w:t>
      </w:r>
    </w:p>
    <w:sectPr w:rsidR="00510ACC" w:rsidSect="00DA5E3F">
      <w:footerReference w:type="default" r:id="rId8"/>
      <w:pgSz w:w="11906" w:h="16838"/>
      <w:pgMar w:top="818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DE" w:rsidRDefault="00B05CDE" w:rsidP="00AD0B36">
      <w:r>
        <w:separator/>
      </w:r>
    </w:p>
  </w:endnote>
  <w:endnote w:type="continuationSeparator" w:id="0">
    <w:p w:rsidR="00B05CDE" w:rsidRDefault="00B05CDE" w:rsidP="00A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B7" w:rsidRDefault="00A879B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C7AEA">
      <w:rPr>
        <w:noProof/>
      </w:rPr>
      <w:t>1</w:t>
    </w:r>
    <w:r>
      <w:fldChar w:fldCharType="end"/>
    </w:r>
  </w:p>
  <w:p w:rsidR="00A879B7" w:rsidRPr="00D07DA6" w:rsidRDefault="00A879B7" w:rsidP="00AC25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DE" w:rsidRDefault="00B05CDE" w:rsidP="00AD0B36">
      <w:r>
        <w:separator/>
      </w:r>
    </w:p>
  </w:footnote>
  <w:footnote w:type="continuationSeparator" w:id="0">
    <w:p w:rsidR="00B05CDE" w:rsidRDefault="00B05CDE" w:rsidP="00AD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040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AC4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1E1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FA0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A08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2EC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84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A9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6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54F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0456"/>
    <w:multiLevelType w:val="singleLevel"/>
    <w:tmpl w:val="02AA9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2BD2BD7"/>
    <w:multiLevelType w:val="hybridMultilevel"/>
    <w:tmpl w:val="91A4C578"/>
    <w:lvl w:ilvl="0" w:tplc="040E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2" w15:restartNumberingAfterBreak="0">
    <w:nsid w:val="03306DDF"/>
    <w:multiLevelType w:val="hybridMultilevel"/>
    <w:tmpl w:val="A7CE164E"/>
    <w:lvl w:ilvl="0" w:tplc="7C7647FA">
      <w:start w:val="1"/>
      <w:numFmt w:val="decimal"/>
      <w:lvlText w:val="%1."/>
      <w:lvlJc w:val="left"/>
      <w:pPr>
        <w:ind w:left="64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13" w15:restartNumberingAfterBreak="0">
    <w:nsid w:val="0580398C"/>
    <w:multiLevelType w:val="hybridMultilevel"/>
    <w:tmpl w:val="01DA8416"/>
    <w:lvl w:ilvl="0" w:tplc="BB260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A63"/>
    <w:multiLevelType w:val="hybridMultilevel"/>
    <w:tmpl w:val="18780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E453D"/>
    <w:multiLevelType w:val="hybridMultilevel"/>
    <w:tmpl w:val="9E3E301C"/>
    <w:lvl w:ilvl="0" w:tplc="1BE2EC30">
      <w:start w:val="25"/>
      <w:numFmt w:val="bullet"/>
      <w:lvlText w:val="-"/>
      <w:lvlJc w:val="left"/>
      <w:pPr>
        <w:tabs>
          <w:tab w:val="num" w:pos="647"/>
        </w:tabs>
        <w:ind w:left="647" w:hanging="360"/>
      </w:pPr>
      <w:rPr>
        <w:rFonts w:ascii="Times New Roman" w:eastAsia="Arial Unicode MS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16" w15:restartNumberingAfterBreak="0">
    <w:nsid w:val="13596BB9"/>
    <w:multiLevelType w:val="hybridMultilevel"/>
    <w:tmpl w:val="D2B04B90"/>
    <w:lvl w:ilvl="0" w:tplc="47CCC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AB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A32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0B9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E77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874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6AA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C66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26F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12D18"/>
    <w:multiLevelType w:val="hybridMultilevel"/>
    <w:tmpl w:val="DCC06A08"/>
    <w:lvl w:ilvl="0" w:tplc="CA5A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D0ED1"/>
    <w:multiLevelType w:val="hybridMultilevel"/>
    <w:tmpl w:val="6C3A5A5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AA15D7"/>
    <w:multiLevelType w:val="hybridMultilevel"/>
    <w:tmpl w:val="1D1280AE"/>
    <w:lvl w:ilvl="0" w:tplc="BB2C0FBC">
      <w:start w:val="2"/>
      <w:numFmt w:val="bullet"/>
      <w:lvlText w:val="-"/>
      <w:lvlJc w:val="left"/>
      <w:pPr>
        <w:ind w:left="417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1F9261F2"/>
    <w:multiLevelType w:val="singleLevel"/>
    <w:tmpl w:val="02AA9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60C4370"/>
    <w:multiLevelType w:val="hybridMultilevel"/>
    <w:tmpl w:val="D3782B1A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  <w:szCs w:val="20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DC92D95"/>
    <w:multiLevelType w:val="hybridMultilevel"/>
    <w:tmpl w:val="338E3340"/>
    <w:lvl w:ilvl="0" w:tplc="05A035AA">
      <w:start w:val="3"/>
      <w:numFmt w:val="decimal"/>
      <w:lvlText w:val="%1"/>
      <w:lvlJc w:val="left"/>
      <w:pPr>
        <w:ind w:left="653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4" w15:restartNumberingAfterBreak="0">
    <w:nsid w:val="335A45D6"/>
    <w:multiLevelType w:val="hybridMultilevel"/>
    <w:tmpl w:val="88FA848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E40DA9"/>
    <w:multiLevelType w:val="hybridMultilevel"/>
    <w:tmpl w:val="9D542CE8"/>
    <w:lvl w:ilvl="0" w:tplc="28BAC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634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E3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876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8EC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4F4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C3C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A2B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C2E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14ECE"/>
    <w:multiLevelType w:val="hybridMultilevel"/>
    <w:tmpl w:val="76B6C94C"/>
    <w:lvl w:ilvl="0" w:tplc="8938C036">
      <w:start w:val="3"/>
      <w:numFmt w:val="decimal"/>
      <w:lvlText w:val="%1"/>
      <w:lvlJc w:val="left"/>
      <w:pPr>
        <w:ind w:left="1013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3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5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7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9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1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3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5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73" w:hanging="180"/>
      </w:pPr>
      <w:rPr>
        <w:rFonts w:cs="Times New Roman"/>
      </w:rPr>
    </w:lvl>
  </w:abstractNum>
  <w:abstractNum w:abstractNumId="27" w15:restartNumberingAfterBreak="0">
    <w:nsid w:val="3DB7671A"/>
    <w:multiLevelType w:val="singleLevel"/>
    <w:tmpl w:val="02AA9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EE87AA5"/>
    <w:multiLevelType w:val="hybridMultilevel"/>
    <w:tmpl w:val="1BC6D208"/>
    <w:lvl w:ilvl="0" w:tplc="FB1CE650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29" w15:restartNumberingAfterBreak="0">
    <w:nsid w:val="40D20682"/>
    <w:multiLevelType w:val="hybridMultilevel"/>
    <w:tmpl w:val="D69CA094"/>
    <w:lvl w:ilvl="0" w:tplc="B7F25D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6A2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AD2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A7B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2A9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8FA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887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287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88D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3C4F87"/>
    <w:multiLevelType w:val="hybridMultilevel"/>
    <w:tmpl w:val="64CC77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D0F11"/>
    <w:multiLevelType w:val="hybridMultilevel"/>
    <w:tmpl w:val="9EAA5FA4"/>
    <w:lvl w:ilvl="0" w:tplc="F14A59AC">
      <w:start w:val="1"/>
      <w:numFmt w:val="decimal"/>
      <w:lvlText w:val="%1."/>
      <w:lvlJc w:val="left"/>
      <w:pPr>
        <w:ind w:left="653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462655F5"/>
    <w:multiLevelType w:val="hybridMultilevel"/>
    <w:tmpl w:val="A8F69A4E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3" w15:restartNumberingAfterBreak="0">
    <w:nsid w:val="497B442B"/>
    <w:multiLevelType w:val="hybridMultilevel"/>
    <w:tmpl w:val="A7B8E0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70D46"/>
    <w:multiLevelType w:val="hybridMultilevel"/>
    <w:tmpl w:val="BA1EC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F0CE0"/>
    <w:multiLevelType w:val="hybridMultilevel"/>
    <w:tmpl w:val="422E2ED0"/>
    <w:lvl w:ilvl="0" w:tplc="5860B1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25B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E34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220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E52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ABD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622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C1A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2CE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23D36"/>
    <w:multiLevelType w:val="hybridMultilevel"/>
    <w:tmpl w:val="E474CC90"/>
    <w:lvl w:ilvl="0" w:tplc="9940BD5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70D79"/>
    <w:multiLevelType w:val="hybridMultilevel"/>
    <w:tmpl w:val="272E8F0A"/>
    <w:lvl w:ilvl="0" w:tplc="12722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656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646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4E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4DA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015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865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CA1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63B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A6D7B"/>
    <w:multiLevelType w:val="hybridMultilevel"/>
    <w:tmpl w:val="BCDE3778"/>
    <w:lvl w:ilvl="0" w:tplc="BB260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446EC"/>
    <w:multiLevelType w:val="singleLevel"/>
    <w:tmpl w:val="02AA9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8043CE5"/>
    <w:multiLevelType w:val="hybridMultilevel"/>
    <w:tmpl w:val="C970717C"/>
    <w:lvl w:ilvl="0" w:tplc="352AF7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A8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676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0ED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032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292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203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674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6B4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71EBB"/>
    <w:multiLevelType w:val="hybridMultilevel"/>
    <w:tmpl w:val="96664D18"/>
    <w:lvl w:ilvl="0" w:tplc="34BEA78E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2" w15:restartNumberingAfterBreak="0">
    <w:nsid w:val="69AE0B85"/>
    <w:multiLevelType w:val="hybridMultilevel"/>
    <w:tmpl w:val="2AE6452C"/>
    <w:lvl w:ilvl="0" w:tplc="BB260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1125B8"/>
    <w:multiLevelType w:val="hybridMultilevel"/>
    <w:tmpl w:val="5E567802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FF479B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B5424EFC">
      <w:start w:val="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6CA9650C"/>
    <w:multiLevelType w:val="hybridMultilevel"/>
    <w:tmpl w:val="8BBAC952"/>
    <w:lvl w:ilvl="0" w:tplc="BB260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3837B6"/>
    <w:multiLevelType w:val="hybridMultilevel"/>
    <w:tmpl w:val="EB62A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508D6"/>
    <w:multiLevelType w:val="hybridMultilevel"/>
    <w:tmpl w:val="4E406C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F764B08"/>
    <w:multiLevelType w:val="hybridMultilevel"/>
    <w:tmpl w:val="517A4448"/>
    <w:lvl w:ilvl="0" w:tplc="CDF83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8B7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13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049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2BF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C87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0E0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255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4E1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C51241"/>
    <w:multiLevelType w:val="hybridMultilevel"/>
    <w:tmpl w:val="F57C38CA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  <w:szCs w:val="20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683411B"/>
    <w:multiLevelType w:val="hybridMultilevel"/>
    <w:tmpl w:val="D0282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13"/>
  </w:num>
  <w:num w:numId="4">
    <w:abstractNumId w:val="38"/>
  </w:num>
  <w:num w:numId="5">
    <w:abstractNumId w:val="46"/>
  </w:num>
  <w:num w:numId="6">
    <w:abstractNumId w:val="49"/>
  </w:num>
  <w:num w:numId="7">
    <w:abstractNumId w:val="36"/>
  </w:num>
  <w:num w:numId="8">
    <w:abstractNumId w:val="45"/>
  </w:num>
  <w:num w:numId="9">
    <w:abstractNumId w:val="11"/>
  </w:num>
  <w:num w:numId="10">
    <w:abstractNumId w:val="17"/>
  </w:num>
  <w:num w:numId="11">
    <w:abstractNumId w:val="33"/>
  </w:num>
  <w:num w:numId="12">
    <w:abstractNumId w:val="30"/>
  </w:num>
  <w:num w:numId="13">
    <w:abstractNumId w:val="28"/>
  </w:num>
  <w:num w:numId="14">
    <w:abstractNumId w:val="41"/>
  </w:num>
  <w:num w:numId="15">
    <w:abstractNumId w:val="10"/>
  </w:num>
  <w:num w:numId="16">
    <w:abstractNumId w:val="27"/>
  </w:num>
  <w:num w:numId="17">
    <w:abstractNumId w:val="39"/>
  </w:num>
  <w:num w:numId="18">
    <w:abstractNumId w:val="15"/>
  </w:num>
  <w:num w:numId="19">
    <w:abstractNumId w:val="21"/>
  </w:num>
  <w:num w:numId="20">
    <w:abstractNumId w:val="2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37"/>
  </w:num>
  <w:num w:numId="33">
    <w:abstractNumId w:val="25"/>
  </w:num>
  <w:num w:numId="34">
    <w:abstractNumId w:val="35"/>
  </w:num>
  <w:num w:numId="35">
    <w:abstractNumId w:val="40"/>
  </w:num>
  <w:num w:numId="36">
    <w:abstractNumId w:val="47"/>
  </w:num>
  <w:num w:numId="37">
    <w:abstractNumId w:val="31"/>
  </w:num>
  <w:num w:numId="38">
    <w:abstractNumId w:val="12"/>
  </w:num>
  <w:num w:numId="39">
    <w:abstractNumId w:val="23"/>
  </w:num>
  <w:num w:numId="40">
    <w:abstractNumId w:val="26"/>
  </w:num>
  <w:num w:numId="41">
    <w:abstractNumId w:val="19"/>
  </w:num>
  <w:num w:numId="42">
    <w:abstractNumId w:val="24"/>
  </w:num>
  <w:num w:numId="43">
    <w:abstractNumId w:val="20"/>
  </w:num>
  <w:num w:numId="44">
    <w:abstractNumId w:val="14"/>
  </w:num>
  <w:num w:numId="45">
    <w:abstractNumId w:val="34"/>
  </w:num>
  <w:num w:numId="46">
    <w:abstractNumId w:val="43"/>
  </w:num>
  <w:num w:numId="47">
    <w:abstractNumId w:val="48"/>
  </w:num>
  <w:num w:numId="48">
    <w:abstractNumId w:val="22"/>
  </w:num>
  <w:num w:numId="49">
    <w:abstractNumId w:val="3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6"/>
    <w:rsid w:val="000073F7"/>
    <w:rsid w:val="00007940"/>
    <w:rsid w:val="0001266C"/>
    <w:rsid w:val="000201FF"/>
    <w:rsid w:val="00021833"/>
    <w:rsid w:val="000232A6"/>
    <w:rsid w:val="000306F7"/>
    <w:rsid w:val="00040380"/>
    <w:rsid w:val="0004581F"/>
    <w:rsid w:val="0005468A"/>
    <w:rsid w:val="00055F64"/>
    <w:rsid w:val="000603DB"/>
    <w:rsid w:val="00062C66"/>
    <w:rsid w:val="00076867"/>
    <w:rsid w:val="00094A6B"/>
    <w:rsid w:val="000A0AFE"/>
    <w:rsid w:val="000A5028"/>
    <w:rsid w:val="000C4BCD"/>
    <w:rsid w:val="000C4F18"/>
    <w:rsid w:val="000C6F26"/>
    <w:rsid w:val="000D070C"/>
    <w:rsid w:val="000E0498"/>
    <w:rsid w:val="000E2605"/>
    <w:rsid w:val="000E6AC6"/>
    <w:rsid w:val="000F2DEA"/>
    <w:rsid w:val="0010626C"/>
    <w:rsid w:val="00106A4E"/>
    <w:rsid w:val="00142435"/>
    <w:rsid w:val="001470DA"/>
    <w:rsid w:val="001518F7"/>
    <w:rsid w:val="00151F51"/>
    <w:rsid w:val="0015342E"/>
    <w:rsid w:val="001555E9"/>
    <w:rsid w:val="0016154B"/>
    <w:rsid w:val="00161740"/>
    <w:rsid w:val="001626B6"/>
    <w:rsid w:val="001643F0"/>
    <w:rsid w:val="00171795"/>
    <w:rsid w:val="0017527A"/>
    <w:rsid w:val="0018730D"/>
    <w:rsid w:val="00191C71"/>
    <w:rsid w:val="00194A21"/>
    <w:rsid w:val="00194F2D"/>
    <w:rsid w:val="001A11E4"/>
    <w:rsid w:val="001B203D"/>
    <w:rsid w:val="001B7352"/>
    <w:rsid w:val="001C53D5"/>
    <w:rsid w:val="001E2162"/>
    <w:rsid w:val="001E517D"/>
    <w:rsid w:val="001E747C"/>
    <w:rsid w:val="001F21F8"/>
    <w:rsid w:val="00204EBE"/>
    <w:rsid w:val="00221A3C"/>
    <w:rsid w:val="00222B8F"/>
    <w:rsid w:val="002302E6"/>
    <w:rsid w:val="00231E30"/>
    <w:rsid w:val="0023206E"/>
    <w:rsid w:val="0023324F"/>
    <w:rsid w:val="00243AF5"/>
    <w:rsid w:val="00247FF8"/>
    <w:rsid w:val="0025169A"/>
    <w:rsid w:val="002545DB"/>
    <w:rsid w:val="00254881"/>
    <w:rsid w:val="00260B28"/>
    <w:rsid w:val="00266E53"/>
    <w:rsid w:val="00266EEB"/>
    <w:rsid w:val="00267C84"/>
    <w:rsid w:val="002764B2"/>
    <w:rsid w:val="00282AFF"/>
    <w:rsid w:val="00282E42"/>
    <w:rsid w:val="00283360"/>
    <w:rsid w:val="00294D06"/>
    <w:rsid w:val="002A21DE"/>
    <w:rsid w:val="002B7695"/>
    <w:rsid w:val="002C290A"/>
    <w:rsid w:val="002F34E3"/>
    <w:rsid w:val="002F3821"/>
    <w:rsid w:val="00304563"/>
    <w:rsid w:val="003101B2"/>
    <w:rsid w:val="00312053"/>
    <w:rsid w:val="003272DB"/>
    <w:rsid w:val="00330BB7"/>
    <w:rsid w:val="003338B3"/>
    <w:rsid w:val="003438C7"/>
    <w:rsid w:val="00350273"/>
    <w:rsid w:val="00360739"/>
    <w:rsid w:val="003626BF"/>
    <w:rsid w:val="00366814"/>
    <w:rsid w:val="00367B39"/>
    <w:rsid w:val="003719D3"/>
    <w:rsid w:val="0037685A"/>
    <w:rsid w:val="0038011B"/>
    <w:rsid w:val="00382B04"/>
    <w:rsid w:val="003A1DAB"/>
    <w:rsid w:val="003B7823"/>
    <w:rsid w:val="003C1BD2"/>
    <w:rsid w:val="003C1F1C"/>
    <w:rsid w:val="003C27E0"/>
    <w:rsid w:val="003C7AEA"/>
    <w:rsid w:val="003D1F63"/>
    <w:rsid w:val="003D251E"/>
    <w:rsid w:val="003D28D3"/>
    <w:rsid w:val="003D3578"/>
    <w:rsid w:val="003D6452"/>
    <w:rsid w:val="003E5115"/>
    <w:rsid w:val="003F34C2"/>
    <w:rsid w:val="003F3740"/>
    <w:rsid w:val="003F48DE"/>
    <w:rsid w:val="003F6792"/>
    <w:rsid w:val="004005C1"/>
    <w:rsid w:val="0041492B"/>
    <w:rsid w:val="0041580B"/>
    <w:rsid w:val="004173A5"/>
    <w:rsid w:val="00427482"/>
    <w:rsid w:val="00460BBE"/>
    <w:rsid w:val="00461DB3"/>
    <w:rsid w:val="004718C7"/>
    <w:rsid w:val="00475FB7"/>
    <w:rsid w:val="00487E0A"/>
    <w:rsid w:val="00490238"/>
    <w:rsid w:val="004A637B"/>
    <w:rsid w:val="004B01C7"/>
    <w:rsid w:val="004B25BD"/>
    <w:rsid w:val="004B2663"/>
    <w:rsid w:val="004B4294"/>
    <w:rsid w:val="004C2D7C"/>
    <w:rsid w:val="004D30E7"/>
    <w:rsid w:val="004D534A"/>
    <w:rsid w:val="004D60A4"/>
    <w:rsid w:val="004F0401"/>
    <w:rsid w:val="0050315F"/>
    <w:rsid w:val="00507FA1"/>
    <w:rsid w:val="00510ACC"/>
    <w:rsid w:val="005230D0"/>
    <w:rsid w:val="00533C6F"/>
    <w:rsid w:val="005472D2"/>
    <w:rsid w:val="005579DE"/>
    <w:rsid w:val="00557C72"/>
    <w:rsid w:val="00563A47"/>
    <w:rsid w:val="00566A6D"/>
    <w:rsid w:val="00583F9D"/>
    <w:rsid w:val="005862C7"/>
    <w:rsid w:val="005900A1"/>
    <w:rsid w:val="00597EA2"/>
    <w:rsid w:val="005A7F35"/>
    <w:rsid w:val="005A7F48"/>
    <w:rsid w:val="005D25B2"/>
    <w:rsid w:val="005F0BFB"/>
    <w:rsid w:val="005F13AC"/>
    <w:rsid w:val="00601D0D"/>
    <w:rsid w:val="0061536D"/>
    <w:rsid w:val="006177F8"/>
    <w:rsid w:val="00632B5E"/>
    <w:rsid w:val="00633642"/>
    <w:rsid w:val="006529C9"/>
    <w:rsid w:val="0065326A"/>
    <w:rsid w:val="00657173"/>
    <w:rsid w:val="00665D0C"/>
    <w:rsid w:val="00670EBE"/>
    <w:rsid w:val="00672306"/>
    <w:rsid w:val="00680097"/>
    <w:rsid w:val="00691322"/>
    <w:rsid w:val="0069205B"/>
    <w:rsid w:val="006A05D4"/>
    <w:rsid w:val="006E7766"/>
    <w:rsid w:val="00713DA7"/>
    <w:rsid w:val="007251B3"/>
    <w:rsid w:val="00730B88"/>
    <w:rsid w:val="007317D2"/>
    <w:rsid w:val="00735980"/>
    <w:rsid w:val="00740E47"/>
    <w:rsid w:val="00746F60"/>
    <w:rsid w:val="00770548"/>
    <w:rsid w:val="00781179"/>
    <w:rsid w:val="0078278D"/>
    <w:rsid w:val="00795688"/>
    <w:rsid w:val="007A66BF"/>
    <w:rsid w:val="007A6DF5"/>
    <w:rsid w:val="007B1E0A"/>
    <w:rsid w:val="007B7203"/>
    <w:rsid w:val="007D6AEC"/>
    <w:rsid w:val="007E2679"/>
    <w:rsid w:val="00805BB8"/>
    <w:rsid w:val="0080646A"/>
    <w:rsid w:val="008147BD"/>
    <w:rsid w:val="00815DDA"/>
    <w:rsid w:val="00822C8A"/>
    <w:rsid w:val="00823F49"/>
    <w:rsid w:val="008261E3"/>
    <w:rsid w:val="0084696C"/>
    <w:rsid w:val="0084731C"/>
    <w:rsid w:val="008527EA"/>
    <w:rsid w:val="0086255B"/>
    <w:rsid w:val="00863711"/>
    <w:rsid w:val="0087262E"/>
    <w:rsid w:val="00885992"/>
    <w:rsid w:val="008C62B6"/>
    <w:rsid w:val="008D5339"/>
    <w:rsid w:val="008D5ABB"/>
    <w:rsid w:val="008D7A56"/>
    <w:rsid w:val="008E55A2"/>
    <w:rsid w:val="008F25A7"/>
    <w:rsid w:val="008F712B"/>
    <w:rsid w:val="0091154F"/>
    <w:rsid w:val="00914156"/>
    <w:rsid w:val="009203EA"/>
    <w:rsid w:val="00930297"/>
    <w:rsid w:val="0094084E"/>
    <w:rsid w:val="00951D20"/>
    <w:rsid w:val="00957602"/>
    <w:rsid w:val="0097412E"/>
    <w:rsid w:val="009777BF"/>
    <w:rsid w:val="009809F2"/>
    <w:rsid w:val="00996C6B"/>
    <w:rsid w:val="009B29B2"/>
    <w:rsid w:val="009B7DDB"/>
    <w:rsid w:val="009E0809"/>
    <w:rsid w:val="009E6DE6"/>
    <w:rsid w:val="009E7E5D"/>
    <w:rsid w:val="009F1571"/>
    <w:rsid w:val="00A0134D"/>
    <w:rsid w:val="00A06552"/>
    <w:rsid w:val="00A11284"/>
    <w:rsid w:val="00A16D4A"/>
    <w:rsid w:val="00A247C0"/>
    <w:rsid w:val="00A322B7"/>
    <w:rsid w:val="00A3388C"/>
    <w:rsid w:val="00A4117A"/>
    <w:rsid w:val="00A5118D"/>
    <w:rsid w:val="00A52A2C"/>
    <w:rsid w:val="00A57702"/>
    <w:rsid w:val="00A618CF"/>
    <w:rsid w:val="00A66228"/>
    <w:rsid w:val="00A753E7"/>
    <w:rsid w:val="00A81F83"/>
    <w:rsid w:val="00A86FFB"/>
    <w:rsid w:val="00A879B7"/>
    <w:rsid w:val="00A87AD8"/>
    <w:rsid w:val="00A955BC"/>
    <w:rsid w:val="00A97C0B"/>
    <w:rsid w:val="00AA1C5C"/>
    <w:rsid w:val="00AA2FA2"/>
    <w:rsid w:val="00AA77DE"/>
    <w:rsid w:val="00AB7BB5"/>
    <w:rsid w:val="00AC2519"/>
    <w:rsid w:val="00AD0B36"/>
    <w:rsid w:val="00AD5270"/>
    <w:rsid w:val="00AE0790"/>
    <w:rsid w:val="00AE305A"/>
    <w:rsid w:val="00AF5069"/>
    <w:rsid w:val="00B00A92"/>
    <w:rsid w:val="00B0239D"/>
    <w:rsid w:val="00B05CDE"/>
    <w:rsid w:val="00B165A3"/>
    <w:rsid w:val="00B211F7"/>
    <w:rsid w:val="00B21A18"/>
    <w:rsid w:val="00B31897"/>
    <w:rsid w:val="00B32736"/>
    <w:rsid w:val="00B4082C"/>
    <w:rsid w:val="00B411B9"/>
    <w:rsid w:val="00B435F2"/>
    <w:rsid w:val="00B4508F"/>
    <w:rsid w:val="00B5426B"/>
    <w:rsid w:val="00B5549F"/>
    <w:rsid w:val="00B57D32"/>
    <w:rsid w:val="00B62E0E"/>
    <w:rsid w:val="00B6385C"/>
    <w:rsid w:val="00B74DAD"/>
    <w:rsid w:val="00B854C6"/>
    <w:rsid w:val="00B869E4"/>
    <w:rsid w:val="00B87914"/>
    <w:rsid w:val="00B93E66"/>
    <w:rsid w:val="00BA34C3"/>
    <w:rsid w:val="00BB719F"/>
    <w:rsid w:val="00BD41E8"/>
    <w:rsid w:val="00BE0406"/>
    <w:rsid w:val="00BE06B3"/>
    <w:rsid w:val="00BE283B"/>
    <w:rsid w:val="00C01121"/>
    <w:rsid w:val="00C0135B"/>
    <w:rsid w:val="00C04163"/>
    <w:rsid w:val="00C04A80"/>
    <w:rsid w:val="00C05963"/>
    <w:rsid w:val="00C16FAF"/>
    <w:rsid w:val="00C203A0"/>
    <w:rsid w:val="00C326FE"/>
    <w:rsid w:val="00C52E25"/>
    <w:rsid w:val="00C919E9"/>
    <w:rsid w:val="00C93047"/>
    <w:rsid w:val="00CB3947"/>
    <w:rsid w:val="00CB4644"/>
    <w:rsid w:val="00CB4AEF"/>
    <w:rsid w:val="00CC638E"/>
    <w:rsid w:val="00CD0B83"/>
    <w:rsid w:val="00CD2CDC"/>
    <w:rsid w:val="00CE5A91"/>
    <w:rsid w:val="00CE7883"/>
    <w:rsid w:val="00CF2CD8"/>
    <w:rsid w:val="00D07DA6"/>
    <w:rsid w:val="00D12AB2"/>
    <w:rsid w:val="00D20C7D"/>
    <w:rsid w:val="00D36505"/>
    <w:rsid w:val="00D366ED"/>
    <w:rsid w:val="00D44BE2"/>
    <w:rsid w:val="00D45B09"/>
    <w:rsid w:val="00D46DE4"/>
    <w:rsid w:val="00D51249"/>
    <w:rsid w:val="00D51E47"/>
    <w:rsid w:val="00D5394F"/>
    <w:rsid w:val="00D575B1"/>
    <w:rsid w:val="00D6121F"/>
    <w:rsid w:val="00D83CAD"/>
    <w:rsid w:val="00D849EB"/>
    <w:rsid w:val="00D93B35"/>
    <w:rsid w:val="00D95896"/>
    <w:rsid w:val="00DA10AB"/>
    <w:rsid w:val="00DA5E3F"/>
    <w:rsid w:val="00DA71AC"/>
    <w:rsid w:val="00DB75C0"/>
    <w:rsid w:val="00DB7712"/>
    <w:rsid w:val="00DC6812"/>
    <w:rsid w:val="00DD00F5"/>
    <w:rsid w:val="00DD0BC9"/>
    <w:rsid w:val="00DD1C1C"/>
    <w:rsid w:val="00DE5E66"/>
    <w:rsid w:val="00DE5F59"/>
    <w:rsid w:val="00E0297B"/>
    <w:rsid w:val="00E0386E"/>
    <w:rsid w:val="00E24E2C"/>
    <w:rsid w:val="00E30A81"/>
    <w:rsid w:val="00E30B8D"/>
    <w:rsid w:val="00E31C66"/>
    <w:rsid w:val="00E335BD"/>
    <w:rsid w:val="00E66849"/>
    <w:rsid w:val="00E70011"/>
    <w:rsid w:val="00E80412"/>
    <w:rsid w:val="00E83CBE"/>
    <w:rsid w:val="00EA6E76"/>
    <w:rsid w:val="00ED7ED0"/>
    <w:rsid w:val="00EF5066"/>
    <w:rsid w:val="00EF63DF"/>
    <w:rsid w:val="00F0372A"/>
    <w:rsid w:val="00F201FC"/>
    <w:rsid w:val="00F25B66"/>
    <w:rsid w:val="00F31A29"/>
    <w:rsid w:val="00F40ADF"/>
    <w:rsid w:val="00F523EA"/>
    <w:rsid w:val="00F541F2"/>
    <w:rsid w:val="00F64457"/>
    <w:rsid w:val="00F6525C"/>
    <w:rsid w:val="00F74036"/>
    <w:rsid w:val="00F7587D"/>
    <w:rsid w:val="00F8495F"/>
    <w:rsid w:val="00F87D7E"/>
    <w:rsid w:val="00F96B63"/>
    <w:rsid w:val="00FB431B"/>
    <w:rsid w:val="00FD4583"/>
    <w:rsid w:val="00FE23EE"/>
    <w:rsid w:val="00FE363D"/>
    <w:rsid w:val="00FF142C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16BDBF"/>
  <w15:docId w15:val="{7CA63A8F-3D6C-4BF1-88A1-3D2AC81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0B36"/>
    <w:rPr>
      <w:rFonts w:ascii="Times New Roman" w:hAnsi="Times New Roman"/>
    </w:rPr>
  </w:style>
  <w:style w:type="paragraph" w:styleId="Cmsor2">
    <w:name w:val="heading 2"/>
    <w:aliases w:val="Bea 3b"/>
    <w:basedOn w:val="Norml"/>
    <w:next w:val="Norml"/>
    <w:link w:val="Cmsor2Char"/>
    <w:qFormat/>
    <w:rsid w:val="00A247C0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rFonts w:ascii="Arial" w:hAnsi="Arial"/>
      <w:i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Bea 3b Char"/>
    <w:link w:val="Cmsor2"/>
    <w:rsid w:val="00A247C0"/>
    <w:rPr>
      <w:rFonts w:ascii="Arial" w:hAnsi="Arial" w:cs="Times New Roman"/>
      <w:i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AD0B36"/>
    <w:rPr>
      <w:lang w:val="x-none"/>
    </w:rPr>
  </w:style>
  <w:style w:type="character" w:customStyle="1" w:styleId="LbjegyzetszvegChar">
    <w:name w:val="Lábjegyzetszöveg Char"/>
    <w:link w:val="Lbjegyzetszveg"/>
    <w:semiHidden/>
    <w:rsid w:val="00AD0B36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semiHidden/>
    <w:rsid w:val="00AD0B36"/>
    <w:rPr>
      <w:rFonts w:cs="Times New Roman"/>
      <w:vertAlign w:val="superscript"/>
    </w:rPr>
  </w:style>
  <w:style w:type="character" w:styleId="Hiperhivatkozs">
    <w:name w:val="Hyperlink"/>
    <w:rsid w:val="00AD0B36"/>
    <w:rPr>
      <w:rFonts w:cs="Times New Roman"/>
      <w:color w:val="0000FF"/>
      <w:u w:val="single"/>
    </w:rPr>
  </w:style>
  <w:style w:type="paragraph" w:customStyle="1" w:styleId="plda">
    <w:name w:val="példa"/>
    <w:basedOn w:val="Norml"/>
    <w:rsid w:val="00AD0B36"/>
    <w:pPr>
      <w:autoSpaceDE w:val="0"/>
      <w:autoSpaceDN w:val="0"/>
      <w:adjustRightInd w:val="0"/>
      <w:jc w:val="both"/>
    </w:pPr>
    <w:rPr>
      <w:i/>
      <w:sz w:val="24"/>
      <w:szCs w:val="24"/>
    </w:rPr>
  </w:style>
  <w:style w:type="paragraph" w:styleId="lfej">
    <w:name w:val="header"/>
    <w:basedOn w:val="Norml"/>
    <w:link w:val="lfejChar"/>
    <w:rsid w:val="001A11E4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1A11E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rsid w:val="001A11E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rsid w:val="001A11E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semiHidden/>
    <w:rsid w:val="00632B5E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632B5E"/>
    <w:rPr>
      <w:rFonts w:ascii="Tahoma" w:hAnsi="Tahoma" w:cs="Tahoma"/>
      <w:sz w:val="16"/>
      <w:szCs w:val="16"/>
      <w:lang w:val="x-none" w:eastAsia="hu-HU"/>
    </w:rPr>
  </w:style>
  <w:style w:type="paragraph" w:customStyle="1" w:styleId="ListParagraph1">
    <w:name w:val="List Paragraph1"/>
    <w:basedOn w:val="Norml"/>
    <w:rsid w:val="00D46DE4"/>
    <w:pPr>
      <w:ind w:left="720"/>
    </w:pPr>
  </w:style>
  <w:style w:type="table" w:styleId="Rcsostblzat">
    <w:name w:val="Table Grid"/>
    <w:basedOn w:val="Normltblzat"/>
    <w:rsid w:val="00D83CAD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87262E"/>
    <w:pPr>
      <w:jc w:val="both"/>
    </w:pPr>
    <w:rPr>
      <w:rFonts w:ascii="Arial" w:hAnsi="Arial"/>
      <w:sz w:val="24"/>
    </w:rPr>
  </w:style>
  <w:style w:type="paragraph" w:customStyle="1" w:styleId="BodyTextIndent1">
    <w:name w:val="Body Text Indent1"/>
    <w:basedOn w:val="Norml"/>
    <w:rsid w:val="00106A4E"/>
    <w:pPr>
      <w:spacing w:after="120"/>
      <w:ind w:left="283"/>
    </w:pPr>
  </w:style>
  <w:style w:type="character" w:customStyle="1" w:styleId="PlaceholderText1">
    <w:name w:val="Placeholder Text1"/>
    <w:semiHidden/>
    <w:rsid w:val="00461DB3"/>
    <w:rPr>
      <w:rFonts w:cs="Times New Roman"/>
      <w:color w:val="808080"/>
    </w:rPr>
  </w:style>
  <w:style w:type="paragraph" w:customStyle="1" w:styleId="NoSpacing1">
    <w:name w:val="No Spacing1"/>
    <w:rsid w:val="00A618CF"/>
    <w:rPr>
      <w:rFonts w:eastAsia="Times New Roman"/>
      <w:sz w:val="22"/>
      <w:szCs w:val="22"/>
      <w:lang w:eastAsia="en-US"/>
    </w:rPr>
  </w:style>
  <w:style w:type="character" w:customStyle="1" w:styleId="style41">
    <w:name w:val="style41"/>
    <w:rsid w:val="0084731C"/>
    <w:rPr>
      <w:rFonts w:cs="Times New Roman"/>
      <w:sz w:val="28"/>
      <w:szCs w:val="28"/>
    </w:rPr>
  </w:style>
  <w:style w:type="character" w:customStyle="1" w:styleId="Kiemels21">
    <w:name w:val="Kiemelés21"/>
    <w:qFormat/>
    <w:rsid w:val="0084731C"/>
    <w:rPr>
      <w:rFonts w:cs="Times New Roman"/>
      <w:b/>
      <w:bCs/>
    </w:rPr>
  </w:style>
  <w:style w:type="character" w:customStyle="1" w:styleId="st">
    <w:name w:val="st"/>
    <w:rsid w:val="0037685A"/>
    <w:rPr>
      <w:rFonts w:cs="Times New Roman"/>
    </w:rPr>
  </w:style>
  <w:style w:type="character" w:styleId="Kiemels">
    <w:name w:val="Emphasis"/>
    <w:qFormat/>
    <w:rsid w:val="0037685A"/>
    <w:rPr>
      <w:rFonts w:cs="Times New Roman"/>
      <w:i/>
      <w:iCs/>
    </w:rPr>
  </w:style>
  <w:style w:type="paragraph" w:styleId="NormlWeb">
    <w:name w:val="Normal (Web)"/>
    <w:basedOn w:val="Norml"/>
    <w:uiPriority w:val="99"/>
    <w:semiHidden/>
    <w:unhideWhenUsed/>
    <w:rsid w:val="00BE06B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230"/>
              <w:marRight w:val="46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230"/>
              <w:marRight w:val="46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230"/>
              <w:marRight w:val="46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CF012-1BE1-459F-833D-44827451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1296</Words>
  <Characters>8944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tantárgy neve:</vt:lpstr>
      <vt:lpstr>A tantárgy neve:</vt:lpstr>
    </vt:vector>
  </TitlesOfParts>
  <Company>DF-THIH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neve:</dc:title>
  <dc:creator>farkasb</dc:creator>
  <cp:lastModifiedBy>admin</cp:lastModifiedBy>
  <cp:revision>2</cp:revision>
  <cp:lastPrinted>2017-06-07T12:42:00Z</cp:lastPrinted>
  <dcterms:created xsi:type="dcterms:W3CDTF">2021-09-02T20:51:00Z</dcterms:created>
  <dcterms:modified xsi:type="dcterms:W3CDTF">2021-09-02T20:51:00Z</dcterms:modified>
</cp:coreProperties>
</file>