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C288" w14:textId="77777777" w:rsidR="00726D72" w:rsidRPr="00D62103" w:rsidRDefault="002A7AA9">
      <w:pPr>
        <w:rPr>
          <w:rFonts w:ascii="Times New Roman" w:hAnsi="Times New Roman" w:cs="Times New Roman"/>
          <w:b/>
          <w:sz w:val="24"/>
          <w:szCs w:val="24"/>
        </w:rPr>
      </w:pPr>
      <w:r w:rsidRPr="00D62103">
        <w:rPr>
          <w:rFonts w:ascii="Times New Roman" w:hAnsi="Times New Roman" w:cs="Times New Roman"/>
          <w:b/>
          <w:sz w:val="24"/>
          <w:szCs w:val="24"/>
        </w:rPr>
        <w:t>Az antik filozófia fő problémái</w:t>
      </w:r>
    </w:p>
    <w:p w14:paraId="1B1FC8BB" w14:textId="77777777" w:rsidR="002A7AA9" w:rsidRPr="00D62103" w:rsidRDefault="002A7AA9">
      <w:pPr>
        <w:rPr>
          <w:rFonts w:ascii="Times New Roman" w:hAnsi="Times New Roman" w:cs="Times New Roman"/>
          <w:b/>
          <w:sz w:val="24"/>
          <w:szCs w:val="24"/>
        </w:rPr>
      </w:pPr>
      <w:r w:rsidRPr="00D62103">
        <w:rPr>
          <w:rFonts w:ascii="Times New Roman" w:hAnsi="Times New Roman" w:cs="Times New Roman"/>
          <w:b/>
          <w:sz w:val="24"/>
          <w:szCs w:val="24"/>
        </w:rPr>
        <w:t>BTLA837OMA</w:t>
      </w:r>
    </w:p>
    <w:p w14:paraId="7399FE58" w14:textId="729DC421" w:rsidR="00845153" w:rsidRPr="0018088D" w:rsidRDefault="00845153" w:rsidP="0084515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D325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6D3256">
        <w:rPr>
          <w:rFonts w:ascii="Times New Roman" w:hAnsi="Times New Roman" w:cs="Times New Roman"/>
          <w:b/>
          <w:sz w:val="24"/>
          <w:szCs w:val="24"/>
        </w:rPr>
        <w:t>6</w:t>
      </w:r>
      <w:r w:rsidRPr="0018088D">
        <w:rPr>
          <w:rFonts w:ascii="Times New Roman" w:hAnsi="Times New Roman" w:cs="Times New Roman"/>
          <w:b/>
          <w:sz w:val="24"/>
          <w:szCs w:val="24"/>
        </w:rPr>
        <w:t xml:space="preserve">. tanév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8088D">
        <w:rPr>
          <w:rFonts w:ascii="Times New Roman" w:hAnsi="Times New Roman" w:cs="Times New Roman"/>
          <w:b/>
          <w:sz w:val="24"/>
          <w:szCs w:val="24"/>
        </w:rPr>
        <w:t>. szemeszter</w:t>
      </w:r>
    </w:p>
    <w:p w14:paraId="2D6461EF" w14:textId="77777777" w:rsidR="002A7AA9" w:rsidRPr="002A7AA9" w:rsidRDefault="002A7AA9">
      <w:pPr>
        <w:rPr>
          <w:rFonts w:ascii="Times New Roman" w:hAnsi="Times New Roman" w:cs="Times New Roman"/>
          <w:sz w:val="24"/>
          <w:szCs w:val="24"/>
        </w:rPr>
      </w:pPr>
    </w:p>
    <w:p w14:paraId="7F0DE9E8" w14:textId="77777777" w:rsidR="00ED3656" w:rsidRDefault="00ED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római filozófia általános bemutatása</w:t>
      </w:r>
      <w:r w:rsidRPr="00ED3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legjelentősebb képviselőinek művein keresztül a kezdetektől a Kr.u. II. századig.</w:t>
      </w:r>
    </w:p>
    <w:p w14:paraId="33D1AA6F" w14:textId="77777777" w:rsidR="006D3256" w:rsidRPr="006D3256" w:rsidRDefault="006D3256" w:rsidP="006D3256">
      <w:pPr>
        <w:suppressAutoHyphens/>
        <w:spacing w:after="0" w:line="276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5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tárgynak jelentős szerepe van az egyetemes kultúra közvetítésében, a szellemi-érzelmi fogékonyság és az erkölcsi érzék elmélyítésében. Erősíti a társadalmi kérdések iránti felelősséget érző gondolkodást. Hozzájárul a különböző nézőpontok megértéséhez, érzékenyebbé tesz az emberi értékek megértése és elfogadása iránt. Elősegíti a méltányosság iránti fogékonyság kialakulását és a közösségi érdek jobb belátását.</w:t>
      </w:r>
    </w:p>
    <w:p w14:paraId="16F47216" w14:textId="77777777" w:rsidR="006D3256" w:rsidRDefault="006D3256">
      <w:pPr>
        <w:rPr>
          <w:rFonts w:ascii="Times New Roman" w:hAnsi="Times New Roman" w:cs="Times New Roman"/>
          <w:sz w:val="24"/>
          <w:szCs w:val="24"/>
        </w:rPr>
      </w:pPr>
    </w:p>
    <w:p w14:paraId="53D3728D" w14:textId="77777777" w:rsidR="00ED3656" w:rsidRPr="00D62103" w:rsidRDefault="00ED3656" w:rsidP="00ED36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2103">
        <w:rPr>
          <w:rFonts w:ascii="Times New Roman" w:hAnsi="Times New Roman" w:cs="Times New Roman"/>
          <w:sz w:val="24"/>
          <w:szCs w:val="24"/>
          <w:u w:val="single"/>
        </w:rPr>
        <w:t>Tematika</w:t>
      </w:r>
    </w:p>
    <w:p w14:paraId="71DE5C11" w14:textId="77777777" w:rsidR="00ED3656" w:rsidRDefault="00ED3656">
      <w:pPr>
        <w:rPr>
          <w:rFonts w:ascii="Times New Roman" w:hAnsi="Times New Roman" w:cs="Times New Roman"/>
          <w:sz w:val="24"/>
          <w:szCs w:val="24"/>
        </w:rPr>
      </w:pPr>
    </w:p>
    <w:p w14:paraId="7A7EF800" w14:textId="77777777" w:rsidR="00ED3656" w:rsidRPr="006E48DD" w:rsidRDefault="00ED3656">
      <w:pPr>
        <w:rPr>
          <w:rFonts w:ascii="Times New Roman" w:hAnsi="Times New Roman" w:cs="Times New Roman"/>
          <w:sz w:val="24"/>
          <w:szCs w:val="24"/>
        </w:rPr>
      </w:pPr>
      <w:r w:rsidRPr="006E48D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E48DD">
        <w:rPr>
          <w:rFonts w:ascii="Times New Roman" w:hAnsi="Times New Roman" w:cs="Times New Roman"/>
          <w:sz w:val="24"/>
          <w:szCs w:val="24"/>
        </w:rPr>
        <w:t>hellénisztikus</w:t>
      </w:r>
      <w:proofErr w:type="spellEnd"/>
      <w:r w:rsidRPr="006E48DD">
        <w:rPr>
          <w:rFonts w:ascii="Times New Roman" w:hAnsi="Times New Roman" w:cs="Times New Roman"/>
          <w:sz w:val="24"/>
          <w:szCs w:val="24"/>
        </w:rPr>
        <w:t xml:space="preserve"> filozófiai iskolák általános jellemzői</w:t>
      </w:r>
    </w:p>
    <w:p w14:paraId="73FD13B4" w14:textId="77777777" w:rsidR="00ED3656" w:rsidRPr="006E48DD" w:rsidRDefault="00ED3656">
      <w:pPr>
        <w:rPr>
          <w:rFonts w:ascii="Times New Roman" w:hAnsi="Times New Roman" w:cs="Times New Roman"/>
          <w:sz w:val="24"/>
          <w:szCs w:val="24"/>
        </w:rPr>
      </w:pPr>
      <w:r w:rsidRPr="006E48DD">
        <w:rPr>
          <w:rFonts w:ascii="Times New Roman" w:hAnsi="Times New Roman" w:cs="Times New Roman"/>
          <w:sz w:val="24"/>
          <w:szCs w:val="24"/>
        </w:rPr>
        <w:t>Az epikureizmus, a sztoicizmus, az Új Akadémia</w:t>
      </w:r>
    </w:p>
    <w:p w14:paraId="4EE9DC65" w14:textId="77777777" w:rsidR="00ED3656" w:rsidRPr="006E48DD" w:rsidRDefault="00ED3656">
      <w:pPr>
        <w:rPr>
          <w:rFonts w:ascii="Times New Roman" w:hAnsi="Times New Roman" w:cs="Times New Roman"/>
          <w:sz w:val="24"/>
          <w:szCs w:val="24"/>
        </w:rPr>
      </w:pPr>
      <w:r w:rsidRPr="006E48D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E48DD">
        <w:rPr>
          <w:rFonts w:ascii="Times New Roman" w:hAnsi="Times New Roman" w:cs="Times New Roman"/>
          <w:sz w:val="24"/>
          <w:szCs w:val="24"/>
        </w:rPr>
        <w:t>hellénisztikus</w:t>
      </w:r>
      <w:proofErr w:type="spellEnd"/>
      <w:r w:rsidRPr="006E48DD">
        <w:rPr>
          <w:rFonts w:ascii="Times New Roman" w:hAnsi="Times New Roman" w:cs="Times New Roman"/>
          <w:sz w:val="24"/>
          <w:szCs w:val="24"/>
        </w:rPr>
        <w:t xml:space="preserve"> filozófiai irányzatok Itáliában</w:t>
      </w:r>
    </w:p>
    <w:p w14:paraId="7CB90034" w14:textId="77777777" w:rsidR="00ED3656" w:rsidRPr="006E48DD" w:rsidRDefault="00ED36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48DD">
        <w:rPr>
          <w:rFonts w:ascii="Times New Roman" w:hAnsi="Times New Roman" w:cs="Times New Roman"/>
          <w:sz w:val="24"/>
          <w:szCs w:val="24"/>
        </w:rPr>
        <w:t>Lucretius</w:t>
      </w:r>
      <w:proofErr w:type="spellEnd"/>
      <w:r w:rsidRPr="006E48DD">
        <w:rPr>
          <w:rFonts w:ascii="Times New Roman" w:hAnsi="Times New Roman" w:cs="Times New Roman"/>
          <w:sz w:val="24"/>
          <w:szCs w:val="24"/>
        </w:rPr>
        <w:t xml:space="preserve"> epikureizmusa</w:t>
      </w:r>
    </w:p>
    <w:p w14:paraId="6049D236" w14:textId="77777777" w:rsidR="00ED3656" w:rsidRPr="006E48DD" w:rsidRDefault="00ED3656">
      <w:pPr>
        <w:rPr>
          <w:rFonts w:ascii="Times New Roman" w:hAnsi="Times New Roman" w:cs="Times New Roman"/>
          <w:sz w:val="24"/>
          <w:szCs w:val="24"/>
        </w:rPr>
      </w:pPr>
      <w:r w:rsidRPr="006E48DD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6E48DD">
        <w:rPr>
          <w:rFonts w:ascii="Times New Roman" w:hAnsi="Times New Roman" w:cs="Times New Roman"/>
          <w:sz w:val="24"/>
          <w:szCs w:val="24"/>
        </w:rPr>
        <w:t>Tullius</w:t>
      </w:r>
      <w:proofErr w:type="spellEnd"/>
      <w:r w:rsidRPr="006E48DD">
        <w:rPr>
          <w:rFonts w:ascii="Times New Roman" w:hAnsi="Times New Roman" w:cs="Times New Roman"/>
          <w:sz w:val="24"/>
          <w:szCs w:val="24"/>
        </w:rPr>
        <w:t xml:space="preserve"> Cicero filozófiai munkássága</w:t>
      </w:r>
    </w:p>
    <w:p w14:paraId="0B123D42" w14:textId="77777777" w:rsidR="00ED3656" w:rsidRPr="006E48DD" w:rsidRDefault="00ED3656">
      <w:pPr>
        <w:rPr>
          <w:rFonts w:ascii="Times New Roman" w:hAnsi="Times New Roman" w:cs="Times New Roman"/>
          <w:sz w:val="24"/>
          <w:szCs w:val="24"/>
        </w:rPr>
      </w:pPr>
      <w:r w:rsidRPr="006E48DD">
        <w:rPr>
          <w:rFonts w:ascii="Times New Roman" w:hAnsi="Times New Roman" w:cs="Times New Roman"/>
          <w:sz w:val="24"/>
          <w:szCs w:val="24"/>
        </w:rPr>
        <w:t>Filozófia a Kr.u. I. században</w:t>
      </w:r>
    </w:p>
    <w:p w14:paraId="55C4C612" w14:textId="77777777" w:rsidR="00ED3656" w:rsidRPr="006E48DD" w:rsidRDefault="00ED3656">
      <w:pPr>
        <w:rPr>
          <w:rFonts w:ascii="Times New Roman" w:hAnsi="Times New Roman" w:cs="Times New Roman"/>
          <w:sz w:val="24"/>
          <w:szCs w:val="24"/>
        </w:rPr>
      </w:pPr>
      <w:r w:rsidRPr="006E48DD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6E48DD">
        <w:rPr>
          <w:rFonts w:ascii="Times New Roman" w:hAnsi="Times New Roman" w:cs="Times New Roman"/>
          <w:sz w:val="24"/>
          <w:szCs w:val="24"/>
        </w:rPr>
        <w:t>Annaeus</w:t>
      </w:r>
      <w:proofErr w:type="spellEnd"/>
      <w:r w:rsidRPr="006E48DD">
        <w:rPr>
          <w:rFonts w:ascii="Times New Roman" w:hAnsi="Times New Roman" w:cs="Times New Roman"/>
          <w:sz w:val="24"/>
          <w:szCs w:val="24"/>
        </w:rPr>
        <w:t xml:space="preserve"> Seneca filozófiája</w:t>
      </w:r>
    </w:p>
    <w:p w14:paraId="78EF8A1C" w14:textId="5EF824D4" w:rsidR="00ED3656" w:rsidRDefault="00ED3656">
      <w:pPr>
        <w:rPr>
          <w:rFonts w:ascii="Times New Roman" w:hAnsi="Times New Roman" w:cs="Times New Roman"/>
          <w:sz w:val="24"/>
          <w:szCs w:val="24"/>
        </w:rPr>
      </w:pPr>
      <w:r w:rsidRPr="006E48DD">
        <w:rPr>
          <w:rFonts w:ascii="Times New Roman" w:hAnsi="Times New Roman" w:cs="Times New Roman"/>
          <w:sz w:val="24"/>
          <w:szCs w:val="24"/>
        </w:rPr>
        <w:t>A sztoicizmus a Kr.u. I</w:t>
      </w:r>
      <w:r w:rsidR="00D62103">
        <w:rPr>
          <w:rFonts w:ascii="Times New Roman" w:hAnsi="Times New Roman" w:cs="Times New Roman"/>
          <w:sz w:val="24"/>
          <w:szCs w:val="24"/>
        </w:rPr>
        <w:t>I</w:t>
      </w:r>
      <w:r w:rsidRPr="006E48DD">
        <w:rPr>
          <w:rFonts w:ascii="Times New Roman" w:hAnsi="Times New Roman" w:cs="Times New Roman"/>
          <w:sz w:val="24"/>
          <w:szCs w:val="24"/>
        </w:rPr>
        <w:t>. században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251C1" w14:textId="77777777" w:rsidR="006004D7" w:rsidRDefault="006004D7">
      <w:pPr>
        <w:rPr>
          <w:rFonts w:ascii="Times New Roman" w:hAnsi="Times New Roman" w:cs="Times New Roman"/>
          <w:sz w:val="24"/>
          <w:szCs w:val="24"/>
        </w:rPr>
      </w:pPr>
    </w:p>
    <w:p w14:paraId="40571D13" w14:textId="77777777" w:rsidR="006004D7" w:rsidRDefault="006004D7" w:rsidP="006004D7">
      <w:pPr>
        <w:rPr>
          <w:rFonts w:ascii="Times New Roman" w:hAnsi="Times New Roman" w:cs="Times New Roman"/>
          <w:sz w:val="24"/>
          <w:szCs w:val="24"/>
        </w:rPr>
      </w:pPr>
      <w:r w:rsidRPr="00B37E4C">
        <w:rPr>
          <w:rFonts w:ascii="Times New Roman" w:hAnsi="Times New Roman" w:cs="Times New Roman"/>
          <w:sz w:val="24"/>
          <w:szCs w:val="24"/>
          <w:u w:val="single"/>
        </w:rPr>
        <w:t>Kötelező olvasmányok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033213" w14:textId="77777777" w:rsidR="006004D7" w:rsidRDefault="006004D7" w:rsidP="006004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Bene László: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Görög-római filozófia. In: Boros G. (szerk.): Filozófia. Budapest 2007, 147-204. </w:t>
      </w:r>
    </w:p>
    <w:p w14:paraId="3AA4EA61" w14:textId="77777777" w:rsidR="006004D7" w:rsidRDefault="006004D7" w:rsidP="006004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Long, A.</w:t>
      </w:r>
      <w:r w:rsidR="00D621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Hellenisztikus filozófia (ford.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Steiger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K.). Budapest 1998. (kijelölt részek)</w:t>
      </w:r>
    </w:p>
    <w:p w14:paraId="11400338" w14:textId="0B0A49D1" w:rsidR="00726D72" w:rsidRDefault="00726D72" w:rsidP="006004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C05F28" w14:textId="77777777" w:rsidR="006004D7" w:rsidRPr="002A7AA9" w:rsidRDefault="006004D7">
      <w:pPr>
        <w:rPr>
          <w:rFonts w:ascii="Times New Roman" w:hAnsi="Times New Roman" w:cs="Times New Roman"/>
          <w:sz w:val="24"/>
          <w:szCs w:val="24"/>
        </w:rPr>
      </w:pPr>
    </w:p>
    <w:sectPr w:rsidR="006004D7" w:rsidRPr="002A7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A9"/>
    <w:rsid w:val="002A1B72"/>
    <w:rsid w:val="002A7AA9"/>
    <w:rsid w:val="006004D7"/>
    <w:rsid w:val="006D3256"/>
    <w:rsid w:val="006E48DD"/>
    <w:rsid w:val="00726D72"/>
    <w:rsid w:val="00845153"/>
    <w:rsid w:val="00C9151E"/>
    <w:rsid w:val="00D44403"/>
    <w:rsid w:val="00D62103"/>
    <w:rsid w:val="00E61F15"/>
    <w:rsid w:val="00ED3656"/>
    <w:rsid w:val="00F5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14F9"/>
  <w15:chartTrackingRefBased/>
  <w15:docId w15:val="{F7D16077-1032-4570-B1FB-A3CB3EAA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csilla</cp:lastModifiedBy>
  <cp:revision>3</cp:revision>
  <dcterms:created xsi:type="dcterms:W3CDTF">2025-08-25T12:05:00Z</dcterms:created>
  <dcterms:modified xsi:type="dcterms:W3CDTF">2025-08-25T13:24:00Z</dcterms:modified>
</cp:coreProperties>
</file>