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BTLA806OMA</w:t>
        <w:tab/>
        <w:t>Latin nyelvi gyakorlatok I.</w:t>
        <w:tab/>
        <w:tab/>
        <w:tab/>
        <w:tab/>
        <w:tab/>
        <w:t>202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6-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hu-HU" w:eastAsia="hu-HU" w:bidi="ar-SA"/>
        </w:rPr>
        <w:t>Szerda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:00–1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:50, Főépület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z w:val="24"/>
          <w:szCs w:val="24"/>
        </w:rPr>
        <w:t>407/A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Kovács István (</w:t>
      </w:r>
      <w:hyperlink r:id="rId2">
        <w:r>
          <w:rPr>
            <w:rStyle w:val="ListLabel271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szeminárium célja,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hogy a félév végére a résztvevők elsajátítsák a latin nyelv alapjait, beleértve a névszó- és igeragozás teljes rendszerét, valamint a mondattan egyszerűbb jelenségeit. A kurzus során a hallgatók megismerkednek a latin kiejtés szabályaival, gyakorolják a hangos olvasást a hagyományos magyarországi ejtés szerint, és képesek lesznek diktálás után helyesen leírni a szavakat.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A tananyag fontos részét képezi az esetek és alapfunkcióik megismerése, az öt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declinatio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főneveinek és a melléknevek ragozásának elsajátítása, valamint a melléknév- és főnévegyeztetés gyakorlása. A hallgatók megismerkednek az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appositio praedicativa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és az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attributum praedicativum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mondatszerkesztésben betöltött szerepével, 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locativus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és 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vocativus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használatával, a melléknevek és határozószók fokozásával, valamint a névmások rendszerével. A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lang w:val="hu-HU" w:eastAsia="hu-HU" w:bidi="ar-SA"/>
        </w:rPr>
        <w:t>hallgató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k elsajátítják a tő- és sorszámneveket 1-től 20-ig, felismerik a leggyakoribb elöljárószavakat, módosítószavakat és kötőszavakat. A szeminárium végére a résztvevők képesek lesznek ismeretlen klasszikus latin szövegben is tájékozódni, felismerni annak alapvető nyelvtani szerkezeteit, megnevezni a grammatikai funkciókat, és meghatározni a szöveg alapvető kommunikációs funkcióit.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A kurzus során a hallgatók megismerik a latin nyelv grammatikai rendszerét, beleértve a legfontosabb rendhagyóságokat, az igeneves szerkezeteket és a mondattan alapvető jelenségeit. Képesek lesznek a grammatika és a jelentés összekapcsolására, valamint ismerni fogják a nyelvtani eszközök elnevezését.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kurzus tervezett menete:</w:t>
      </w:r>
    </w:p>
    <w:p>
      <w:pPr>
        <w:pStyle w:val="Normal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Bevezetés</w:t>
      </w:r>
    </w:p>
    <w:p>
      <w:pPr>
        <w:pStyle w:val="Normal"/>
        <w:numPr>
          <w:ilvl w:val="0"/>
          <w:numId w:val="18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I-II.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declinatió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praesens imperfectum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képzése</w:t>
      </w:r>
    </w:p>
    <w:p>
      <w:pPr>
        <w:pStyle w:val="Normal"/>
        <w:numPr>
          <w:ilvl w:val="0"/>
          <w:numId w:val="19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III.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declinatio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praesens 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képzése;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is, ea, id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névmás</w:t>
      </w:r>
    </w:p>
    <w:p>
      <w:pPr>
        <w:pStyle w:val="Normal"/>
        <w:numPr>
          <w:ilvl w:val="0"/>
          <w:numId w:val="20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Praeteritum imperfectum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és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; IV.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declinatio</w:t>
      </w:r>
      <w:r>
        <w:rPr>
          <w:rFonts w:eastAsia="Times New Roman" w:cs="Times New Roman" w:ascii="Times New Roman" w:hAnsi="Times New Roman"/>
          <w:sz w:val="24"/>
          <w:szCs w:val="24"/>
        </w:rPr>
        <w:t>; vonatkozó névmás</w:t>
      </w:r>
    </w:p>
    <w:p>
      <w:pPr>
        <w:pStyle w:val="Normal"/>
        <w:numPr>
          <w:ilvl w:val="0"/>
          <w:numId w:val="2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Futurum imperfectum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és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locativus</w:t>
      </w:r>
      <w:r>
        <w:rPr>
          <w:rFonts w:eastAsia="Times New Roman" w:cs="Times New Roman" w:ascii="Times New Roman" w:hAnsi="Times New Roman"/>
          <w:sz w:val="24"/>
          <w:szCs w:val="24"/>
        </w:rPr>
        <w:t>; mutató és visszaható névmások</w:t>
      </w:r>
    </w:p>
    <w:p>
      <w:pPr>
        <w:pStyle w:val="Normal"/>
        <w:numPr>
          <w:ilvl w:val="0"/>
          <w:numId w:val="2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Imperativus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; V.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declinatio</w:t>
      </w:r>
      <w:r>
        <w:rPr>
          <w:rFonts w:eastAsia="Times New Roman" w:cs="Times New Roman" w:ascii="Times New Roman" w:hAnsi="Times New Roman"/>
          <w:sz w:val="24"/>
          <w:szCs w:val="24"/>
        </w:rPr>
        <w:t>; személyes névmás</w:t>
      </w:r>
    </w:p>
    <w:p>
      <w:pPr>
        <w:pStyle w:val="Normal"/>
        <w:numPr>
          <w:ilvl w:val="0"/>
          <w:numId w:val="2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Participium</w:t>
      </w:r>
    </w:p>
    <w:p>
      <w:pPr>
        <w:pStyle w:val="Normal"/>
        <w:numPr>
          <w:ilvl w:val="0"/>
          <w:numId w:val="2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Passivum</w:t>
      </w:r>
    </w:p>
    <w:p>
      <w:pPr>
        <w:pStyle w:val="Normal"/>
        <w:numPr>
          <w:ilvl w:val="0"/>
          <w:numId w:val="25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Melléknevek fokozása;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adverbium</w:t>
      </w:r>
      <w:r>
        <w:rPr>
          <w:rFonts w:eastAsia="Times New Roman" w:cs="Times New Roman" w:ascii="Times New Roman" w:hAnsi="Times New Roman"/>
          <w:sz w:val="24"/>
          <w:szCs w:val="24"/>
        </w:rPr>
        <w:t>ok képzése és fokozása</w:t>
      </w:r>
    </w:p>
    <w:p>
      <w:pPr>
        <w:pStyle w:val="Normal"/>
        <w:numPr>
          <w:ilvl w:val="0"/>
          <w:numId w:val="26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Infinitivus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és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infinitivus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os szerkezetek </w:t>
      </w:r>
    </w:p>
    <w:p>
      <w:pPr>
        <w:pStyle w:val="Normal"/>
        <w:numPr>
          <w:ilvl w:val="0"/>
          <w:numId w:val="27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Coniunctivus</w:t>
      </w:r>
    </w:p>
    <w:p>
      <w:pPr>
        <w:pStyle w:val="Normal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Participium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„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instans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”;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gerundium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és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gerundivum</w:t>
      </w:r>
    </w:p>
    <w:p>
      <w:pPr>
        <w:pStyle w:val="Normal"/>
        <w:numPr>
          <w:ilvl w:val="0"/>
          <w:numId w:val="29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Függő kérdés;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consecutio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temporum</w:t>
      </w:r>
    </w:p>
    <w:p>
      <w:pPr>
        <w:pStyle w:val="Normal"/>
        <w:numPr>
          <w:ilvl w:val="0"/>
          <w:numId w:val="30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Ablativus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absolutus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;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supinum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Oktatási segédanyag: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Ferenczi Attila – Monostori Martina: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Latin nyelv.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Bp. 1997.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M. Nagy Ilona – Tegyey Imre: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Latin nyelvtan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jegyszerzés feltételei: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szeminárium látogatásköteles, a hallgató összesen 3 alkalommal hiányozhat. Értékelés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félév végi beszámoló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illetve órai munka alapján.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qFormat/>
    <w:rPr>
      <w:color w:val="00008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acs.istvan@arts.unideb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LibreOffice/24.2.7.2$Linux_X86_64 LibreOffice_project/420$Build-2</Application>
  <AppVersion>15.0000</AppVersion>
  <Pages>2</Pages>
  <Words>323</Words>
  <Characters>2252</Characters>
  <CharactersWithSpaces>2539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2020-09-03T21:57:00Z</dcterms:created>
  <dc:creator>Istvan Kovacs</dc:creator>
  <dc:description/>
  <dc:language>hu-HU</dc:language>
  <cp:lastModifiedBy/>
  <dcterms:modified xsi:type="dcterms:W3CDTF">2025-08-28T20:22:42Z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