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BTTR150</w:t>
      </w:r>
      <w:r>
        <w:rPr>
          <w:rFonts w:eastAsia="Times New Roman" w:cs="Times New Roman" w:ascii="Times New Roman" w:hAnsi="Times New Roman"/>
          <w:b/>
          <w:sz w:val="24"/>
          <w:szCs w:val="24"/>
          <w:lang w:val="hu-HU" w:eastAsia="en-US" w:bidi="ar-SA"/>
        </w:rPr>
        <w:t>6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DMA</w:t>
        <w:tab/>
      </w:r>
      <w:r>
        <w:rPr>
          <w:rFonts w:eastAsia="Times New Roman" w:cs="Times New Roman" w:ascii="Times New Roman" w:hAnsi="Times New Roman"/>
          <w:b/>
          <w:sz w:val="24"/>
          <w:szCs w:val="24"/>
          <w:lang w:val="hu-HU" w:eastAsia="en-US" w:bidi="ar-SA"/>
        </w:rPr>
        <w:t>Nemzetközi kapcsolatok története</w:t>
        <w:tab/>
        <w:tab/>
        <w:tab/>
        <w:tab/>
      </w:r>
      <w:r>
        <w:rPr>
          <w:rFonts w:eastAsia="Times New Roman" w:cs="Times New Roman" w:ascii="Times New Roman" w:hAnsi="Times New Roman"/>
          <w:b/>
          <w:sz w:val="24"/>
          <w:szCs w:val="24"/>
        </w:rPr>
        <w:t>202</w:t>
      </w:r>
      <w:r>
        <w:rPr>
          <w:rFonts w:eastAsia="Times New Roman" w:cs="Times New Roman" w:ascii="Times New Roman" w:hAnsi="Times New Roman"/>
          <w:b/>
          <w:sz w:val="24"/>
          <w:szCs w:val="24"/>
          <w:lang w:val="hu-HU" w:eastAsia="en-US" w:bidi="ar-SA"/>
        </w:rPr>
        <w:t>6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/27</w:t>
      </w:r>
      <w:r>
        <w:rPr>
          <w:rFonts w:eastAsia="Times New Roman" w:cs="Times New Roman" w:ascii="Times New Roman" w:hAnsi="Times New Roman"/>
          <w:b/>
          <w:sz w:val="24"/>
          <w:szCs w:val="24"/>
          <w:lang w:val="hu-HU" w:eastAsia="en-US" w:bidi="ar-SA"/>
        </w:rPr>
        <w:t>-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I</w:t>
        <w:br/>
      </w:r>
      <w:r>
        <w:rPr>
          <w:rFonts w:eastAsia="Times New Roman" w:cs="Times New Roman" w:ascii="Times New Roman" w:hAnsi="Times New Roman"/>
          <w:sz w:val="24"/>
          <w:szCs w:val="24"/>
        </w:rPr>
        <w:t>Kedd 1</w:t>
      </w:r>
      <w:r>
        <w:rPr>
          <w:rFonts w:eastAsia="Times New Roman" w:cs="Times New Roman" w:ascii="Times New Roman" w:hAnsi="Times New Roman"/>
          <w:sz w:val="24"/>
          <w:szCs w:val="24"/>
        </w:rPr>
        <w:t>6</w:t>
      </w:r>
      <w:r>
        <w:rPr>
          <w:rFonts w:eastAsia="Times New Roman" w:cs="Times New Roman" w:ascii="Times New Roman" w:hAnsi="Times New Roman"/>
          <w:sz w:val="24"/>
          <w:szCs w:val="24"/>
        </w:rPr>
        <w:t>:00–1</w:t>
      </w:r>
      <w:r>
        <w:rPr>
          <w:rFonts w:eastAsia="Times New Roman" w:cs="Times New Roman" w:ascii="Times New Roman" w:hAnsi="Times New Roman"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0, Főépület </w:t>
      </w:r>
      <w:r>
        <w:rPr>
          <w:rFonts w:eastAsia="Times New Roman" w:cs="Times New Roman" w:ascii="Times New Roman" w:hAnsi="Times New Roman"/>
          <w:sz w:val="24"/>
          <w:szCs w:val="24"/>
          <w:lang w:val="hu-HU" w:eastAsia="en-US" w:bidi="ar-SA"/>
        </w:rPr>
        <w:t>407/E</w:t>
      </w:r>
      <w:r>
        <w:rPr>
          <w:rFonts w:eastAsia="Times New Roman" w:cs="Times New Roman" w:ascii="Times New Roman" w:hAnsi="Times New Roman"/>
          <w:b/>
          <w:sz w:val="24"/>
          <w:szCs w:val="24"/>
        </w:rPr>
        <w:br/>
      </w:r>
      <w:r>
        <w:rPr>
          <w:rFonts w:eastAsia="Times New Roman" w:cs="Times New Roman" w:ascii="Times New Roman" w:hAnsi="Times New Roman"/>
          <w:sz w:val="24"/>
          <w:szCs w:val="24"/>
        </w:rPr>
        <w:t>Kovács István (</w:t>
      </w:r>
      <w:hyperlink r:id="rId2">
        <w:r>
          <w:rPr>
            <w:rStyle w:val="ListLabel19"/>
            <w:rFonts w:eastAsia="Times New Roman" w:cs="Times New Roman" w:ascii="Times New Roman" w:hAnsi="Times New Roman"/>
            <w:color w:val="1155CC"/>
            <w:sz w:val="24"/>
            <w:szCs w:val="24"/>
            <w:u w:val="single"/>
          </w:rPr>
          <w:t>kovacs.istvan@arts.unideb.hu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>)</w:t>
      </w:r>
    </w:p>
    <w:p>
      <w:pPr>
        <w:pStyle w:val="Normal"/>
        <w:suppressAutoHyphens w:val="false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uppressAutoHyphens w:val="false"/>
        <w:rPr/>
      </w:pPr>
      <w:r>
        <w:rPr>
          <w:rFonts w:eastAsia="Times New Roman" w:cs="Times New Roman" w:ascii="Times New Roman" w:hAnsi="Times New Roman"/>
          <w:i/>
          <w:sz w:val="24"/>
          <w:szCs w:val="24"/>
        </w:rPr>
        <w:t>A szeminárium célja:</w:t>
      </w:r>
    </w:p>
    <w:p>
      <w:pPr>
        <w:pStyle w:val="Normal"/>
        <w:suppressAutoHyphens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Szemelvényszerűen betekintést nyújtani II. Ióannés Komnénos (1118–1143) bizánci császár uralkodásába Tyrosi Vilmos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Historia rerum in partibus transmarinis gestarum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című munkája segítségével. A kurzus során a hallgatók latin nyelvű történeti forrásokkal való munkavégzést sajátítanak el, terjedelmes segédanyagok támogatásával, így alapszintű latin nyelvi tudás is elegendő a részvételhez.</w:t>
      </w:r>
    </w:p>
    <w:p>
      <w:pPr>
        <w:pStyle w:val="Normal"/>
        <w:suppressAutoHyphens w:val="false"/>
        <w:spacing w:lineRule="auto" w:line="240" w:before="0" w:after="0"/>
        <w:ind w:firstLine="28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A szeminárium fejleszti a hallgatók forrásértelmezési készségeit egy konkrét középkori latin történeti mű példáján keresztül, mely nyugati szemszögből mutatja be a XII. századi bizánci-latin kapcsolatokat és a keresztes államok politikai viszonyait. A hallgatók megtanulják azonosítani a szerző szándékait és nézőpontját, valamint kritikusan elemezni a történeti narratívát.</w:t>
      </w:r>
    </w:p>
    <w:p>
      <w:pPr>
        <w:pStyle w:val="Normal"/>
        <w:suppressAutoHyphens w:val="false"/>
        <w:spacing w:lineRule="auto" w:line="240"/>
        <w:ind w:firstLine="28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A kurzus során a résztvevők gyakorlatot szereznek a középkori latin szövegek paleográfiai és filológiai megközelítésében, megismerik a latin krónikairodalom sajátosságait és a bizánci-nyugati kapcsolatok forrástípusait. A szeminárium elmélyíti a XII. századi mediterrán politikai és kulturális viszonyok megértését, miközben fejleszti a kritikai forráshasználat készségeit és a történeti kontextusba helyezés képességét.</w:t>
      </w:r>
    </w:p>
    <w:p>
      <w:pPr>
        <w:pStyle w:val="Normal"/>
        <w:suppressAutoHyphens w:val="false"/>
        <w:spacing w:lineRule="auto" w:line="240"/>
        <w:rPr/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Kötelező szakirodalom: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/>
        <w:rPr/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Willelmi Tyrensis archieposciopi Chronicon. Corpus Christianorum. Continuatio Maediaevalis.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LXIII. 1984. (éd.: R.B.C. Huygens)</w:t>
      </w:r>
    </w:p>
    <w:p>
      <w:pPr>
        <w:pStyle w:val="Normal"/>
        <w:suppressAutoHyphens w:val="false"/>
        <w:spacing w:lineRule="auto" w:line="240"/>
        <w:rPr/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A jegyszerzés feltételei:</w:t>
      </w:r>
    </w:p>
    <w:p>
      <w:pPr>
        <w:pStyle w:val="Normal"/>
        <w:suppressAutoHyphens w:val="false"/>
        <w:spacing w:lineRule="auto" w:line="240" w:before="0" w:after="16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A szeminárium látogatásköteles, a hallgató összesen 3 alkalommal hiányozhat. Értékelés zárthelyi dolgozat illetve órai munka alapján.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Internet-hivatkozás"/>
    <w:qFormat/>
    <w:rPr>
      <w:color w:val="000080"/>
      <w:u w:val="single"/>
      <w:lang w:val="zxx" w:eastAsia="zxx" w:bidi="zxx"/>
    </w:rPr>
  </w:style>
  <w:style w:type="character" w:styleId="Felsorolsjel">
    <w:name w:val="Felsorolásjel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gymutat">
    <w:name w:val="Tárgymutató"/>
    <w:basedOn w:val="Normal"/>
    <w:qFormat/>
    <w:pPr>
      <w:suppressLineNumbers/>
    </w:pPr>
    <w:rPr>
      <w:rFonts w:cs="Lohit Devanagari"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vacs.istvan@arts.unideb.h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  <Pages>1</Pages>
  <Words>193</Words>
  <Characters>1460</Characters>
  <CharactersWithSpaces>1644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2026-08-31T20:49:59Z</dcterms:created>
  <dc:creator/>
  <dc:description/>
  <dc:language>hu-HU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1033-11.1.0.10702</vt:lpwstr>
  </property>
  <property fmtid="{D5CDD505-2E9C-101B-9397-08002B2CF9AE}" pid="3" name="LinksUpToDate">
    <vt:bool>0</vt:bool>
  </property>
  <property fmtid="{D5CDD505-2E9C-101B-9397-08002B2CF9AE}" pid="4" name="ScaleCrop">
    <vt:bool>0</vt:bool>
  </property>
</Properties>
</file>