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>BTLA819OMA</w:t>
        <w:tab/>
      </w:r>
      <w:r>
        <w:rPr>
          <w:rFonts w:eastAsia="Times New Roman" w:cs="Times New Roman" w:ascii="Liberation Serif" w:hAnsi="Liberation Serif"/>
          <w:b/>
          <w:color w:val="auto"/>
          <w:kern w:val="0"/>
          <w:sz w:val="24"/>
          <w:szCs w:val="24"/>
          <w:lang w:val="hu-HU" w:eastAsia="hu-HU" w:bidi="ar-SA"/>
        </w:rPr>
        <w:t>Auctorolvasás: Vergilius I.</w:t>
      </w: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ab/>
        <w:tab/>
        <w:tab/>
        <w:tab/>
        <w:t>202</w:t>
      </w:r>
      <w:r>
        <w:rPr>
          <w:rFonts w:eastAsia="Times New Roman" w:cs="Times New Roman" w:ascii="Liberation Serif" w:hAnsi="Liberation Serif"/>
          <w:b/>
          <w:color w:val="auto"/>
          <w:kern w:val="0"/>
          <w:sz w:val="24"/>
          <w:szCs w:val="24"/>
          <w:lang w:val="hu-HU" w:eastAsia="hu-HU" w:bidi="ar-SA"/>
        </w:rPr>
        <w:t>6</w:t>
      </w: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>/202</w:t>
      </w:r>
      <w:r>
        <w:rPr>
          <w:rFonts w:eastAsia="Times New Roman" w:cs="Times New Roman" w:ascii="Liberation Serif" w:hAnsi="Liberation Serif"/>
          <w:b/>
          <w:color w:val="auto"/>
          <w:kern w:val="0"/>
          <w:sz w:val="24"/>
          <w:szCs w:val="24"/>
          <w:lang w:val="hu-HU" w:eastAsia="hu-HU" w:bidi="ar-SA"/>
        </w:rPr>
        <w:t>7</w:t>
      </w:r>
      <w:r>
        <w:rPr>
          <w:rFonts w:eastAsia="Times New Roman" w:cs="Times New Roman" w:ascii="Liberation Serif" w:hAnsi="Liberation Serif"/>
          <w:b/>
          <w:color w:val="auto"/>
          <w:sz w:val="24"/>
          <w:szCs w:val="24"/>
        </w:rPr>
        <w:t>-I</w:t>
        <w:br/>
        <w:t>Csütörtök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 xml:space="preserve"> 1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4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:00–1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5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: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5</w:t>
      </w: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 xml:space="preserve">0, Főépület </w:t>
      </w:r>
      <w:r>
        <w:rPr>
          <w:rFonts w:eastAsia="Times New Roman" w:cs="Times New Roman" w:ascii="Liberation Serif" w:hAnsi="Liberation Serif"/>
          <w:color w:val="auto"/>
          <w:kern w:val="0"/>
          <w:sz w:val="24"/>
          <w:szCs w:val="24"/>
          <w:lang w:val="hu-HU" w:eastAsia="hu-HU" w:bidi="ar-SA"/>
        </w:rPr>
        <w:t>407/A</w:t>
      </w:r>
    </w:p>
    <w:p>
      <w:pPr>
        <w:pStyle w:val="Normal"/>
        <w:spacing w:lineRule="auto" w:line="240"/>
        <w:jc w:val="both"/>
        <w:rPr/>
      </w:pPr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Kovács István (</w:t>
      </w:r>
      <w:hyperlink r:id="rId2">
        <w:r>
          <w:rPr>
            <w:rStyle w:val="ListLabel37"/>
            <w:rFonts w:eastAsia="Times New Roman" w:cs="Times New Roman" w:ascii="Liberation Serif" w:hAnsi="Liberation Serif"/>
            <w:color w:val="auto"/>
            <w:sz w:val="24"/>
            <w:szCs w:val="24"/>
            <w:u w:val="single"/>
          </w:rPr>
          <w:t>kovacs.istvan@arts.unideb.hu</w:t>
        </w:r>
      </w:hyperlink>
      <w:r>
        <w:rPr>
          <w:rFonts w:eastAsia="Times New Roman" w:cs="Times New Roman" w:ascii="Liberation Serif" w:hAnsi="Liberation Serif"/>
          <w:color w:val="auto"/>
          <w:sz w:val="24"/>
          <w:szCs w:val="24"/>
        </w:rPr>
        <w:t>)</w:t>
      </w:r>
    </w:p>
    <w:p>
      <w:pPr>
        <w:pStyle w:val="Normal"/>
        <w:spacing w:lineRule="auto" w:line="240"/>
        <w:rPr>
          <w:rFonts w:ascii="Liberation Serif" w:hAnsi="Liberation Serif" w:eastAsia="Times New Roman" w:cs="Times New Roman"/>
          <w:color w:val="auto"/>
          <w:sz w:val="24"/>
          <w:szCs w:val="24"/>
        </w:rPr>
      </w:pPr>
      <w:r>
        <w:rPr>
          <w:rFonts w:eastAsia="Times New Roman" w:cs="Times New Roman" w:ascii="Liberation Serif" w:hAnsi="Liberation Serif"/>
          <w:color w:val="auto"/>
          <w:sz w:val="24"/>
          <w:szCs w:val="24"/>
        </w:rPr>
      </w:r>
    </w:p>
    <w:p>
      <w:pPr>
        <w:pStyle w:val="BodyText"/>
        <w:spacing w:lineRule="auto" w:line="240"/>
        <w:rPr/>
      </w:pPr>
      <w:r>
        <w:rPr>
          <w:rFonts w:eastAsia="Times New Roman" w:cs="Times New Roman"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  <w:szCs w:val="24"/>
        </w:rPr>
        <w:t>A szeminárium célja:</w:t>
      </w:r>
    </w:p>
    <w:p>
      <w:pPr>
        <w:pStyle w:val="BodyText"/>
        <w:widowControl/>
        <w:suppressAutoHyphens w:val="false"/>
        <w:spacing w:lineRule="auto" w:line="240"/>
        <w:ind w:hanging="0" w:left="0" w:right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A kurzus célja, hogy a hallgatók megismerkedjenek a római irodalom egyik legnagyobb hatású alkotásával, Vergilius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</w:rPr>
        <w:t>Aeneis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ével, különös tekintettel annak középiskolai kánonban betöltött szerepére. A szeminárium során a résztvevők az eredeti latin szöveggel dolgoznak, amely lehetőséget nyújt </w:t>
      </w:r>
      <w:r>
        <w:rPr>
          <w:rFonts w:eastAsia="Arial" w:cs="Arial" w:ascii="Liberation Serif" w:hAnsi="Liberation Serif"/>
          <w:b w:val="false"/>
          <w:i w:val="false"/>
          <w:caps w:val="false"/>
          <w:smallCaps w:val="false"/>
          <w:color w:val="auto"/>
          <w:spacing w:val="0"/>
          <w:kern w:val="0"/>
          <w:sz w:val="24"/>
          <w:szCs w:val="22"/>
          <w:lang w:val="hu-HU" w:eastAsia="hu-HU" w:bidi="ar-SA"/>
        </w:rPr>
        <w:t>a klasszikus kori költői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 nyelvezet sajátosságainak megfigyelésére, valamint a műfordítási kérdések és dilemmák megvitatására.</w:t>
      </w:r>
    </w:p>
    <w:p>
      <w:pPr>
        <w:pStyle w:val="BodyText"/>
        <w:widowControl/>
        <w:suppressAutoHyphens w:val="false"/>
        <w:spacing w:lineRule="auto" w:line="240"/>
        <w:ind w:hanging="0" w:left="0" w:right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A kurzus kiemelt hangsúlyt fektet a latin nyelvtudás és fordítási készségek fejlesztésére. A hallgatók megismerkednek a szöveg metrikai sajátosságaival, gyakorolják a skandálást, és elsajátítják a helyes intonációt a verses szövegek felolvasásához. A szemelvények feldolgozása során különös figyelmet fordítunk olyan központi témákra, mint Dido és Aeneas kapcsolata, a túlvilághit ábrázolása, valamint a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</w:rPr>
        <w:t>pietas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 és Aeneas alakjának értelmezési lehetőségei.</w:t>
      </w:r>
    </w:p>
    <w:p>
      <w:pPr>
        <w:pStyle w:val="BodyText"/>
        <w:widowControl/>
        <w:spacing w:lineRule="auto" w:line="240" w:before="0" w:after="0"/>
        <w:ind w:hanging="0" w:left="0" w:right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A gyakorlati munka során a hallgatók:</w:t>
      </w:r>
    </w:p>
    <w:p>
      <w:pPr>
        <w:pStyle w:val="BodyText"/>
        <w:widowControl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fejlesztik szótárhasználati készségeiket különböző szótárak önálló alkalmazásával</w:t>
      </w:r>
    </w:p>
    <w:p>
      <w:pPr>
        <w:pStyle w:val="BodyText"/>
        <w:widowControl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gyakorolják az ismeretlen nyelvtani elemeket nem tartalmazó mondatok elemzését és magyarra fordítását</w:t>
      </w:r>
    </w:p>
    <w:p>
      <w:pPr>
        <w:pStyle w:val="BodyText"/>
        <w:widowControl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bővítik latin szókincsüket</w:t>
      </w:r>
    </w:p>
    <w:p>
      <w:pPr>
        <w:pStyle w:val="BodyText"/>
        <w:widowControl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elsajátítják a szövegelemzés és fordítás módszertani alapjait</w:t>
      </w:r>
    </w:p>
    <w:p>
      <w:pPr>
        <w:pStyle w:val="BodyText"/>
        <w:widowControl/>
        <w:numPr>
          <w:ilvl w:val="0"/>
          <w:numId w:val="2"/>
        </w:numPr>
        <w:spacing w:lineRule="auto" w:line="240" w:before="0" w:after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megismerik a római hagyományok szerepét az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</w:rPr>
        <w:t>Aeneis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ben</w:t>
      </w:r>
    </w:p>
    <w:p>
      <w:pPr>
        <w:pStyle w:val="BodyText"/>
        <w:widowControl/>
        <w:numPr>
          <w:ilvl w:val="0"/>
          <w:numId w:val="2"/>
        </w:numPr>
        <w:spacing w:lineRule="auto" w:line="24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képessé válnak az eposz esztétikai értékeinek felismerésére és értelmezésére</w:t>
      </w:r>
    </w:p>
    <w:p>
      <w:pPr>
        <w:pStyle w:val="BodyText"/>
        <w:widowControl/>
        <w:spacing w:lineRule="auto" w:line="240"/>
        <w:ind w:hanging="0" w:left="0" w:right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A kurzus során a hallgatók tanári segítséggel vagy megfelelő kommentár támogatásával önállóan dolgoznak fel eredeti latin szövegrészleteket, fejlesztve ezzel szövegértési és fordítási kompetenciáikat.</w:t>
      </w:r>
    </w:p>
    <w:p>
      <w:pPr>
        <w:pStyle w:val="BodyText"/>
        <w:widowControl/>
        <w:spacing w:lineRule="auto" w:line="240"/>
        <w:ind w:hanging="0" w:left="0" w:right="0"/>
        <w:jc w:val="left"/>
        <w:rPr/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</w:rPr>
        <w:t>Olvasandó szövegrészletek</w:t>
      </w:r>
    </w:p>
    <w:p>
      <w:pPr>
        <w:pStyle w:val="BodyText"/>
        <w:widowControl/>
        <w:numPr>
          <w:ilvl w:val="0"/>
          <w:numId w:val="3"/>
        </w:numPr>
        <w:spacing w:lineRule="auto" w:line="240" w:before="0" w:after="0"/>
        <w:jc w:val="left"/>
        <w:rPr/>
      </w:pPr>
      <w:bookmarkStart w:id="0" w:name="yui_3_17_2_1_1662231322320_40"/>
      <w:bookmarkEnd w:id="0"/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I. 1–33.</w:t>
      </w:r>
    </w:p>
    <w:p>
      <w:pPr>
        <w:pStyle w:val="BodyText"/>
        <w:widowControl/>
        <w:numPr>
          <w:ilvl w:val="0"/>
          <w:numId w:val="3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II. 1–56.</w:t>
      </w:r>
    </w:p>
    <w:p>
      <w:pPr>
        <w:pStyle w:val="BodyText"/>
        <w:widowControl/>
        <w:numPr>
          <w:ilvl w:val="0"/>
          <w:numId w:val="3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II. 199–297.</w:t>
      </w:r>
    </w:p>
    <w:p>
      <w:pPr>
        <w:pStyle w:val="BodyText"/>
        <w:widowControl/>
        <w:numPr>
          <w:ilvl w:val="0"/>
          <w:numId w:val="3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IV. 584–671.</w:t>
      </w:r>
    </w:p>
    <w:p>
      <w:pPr>
        <w:pStyle w:val="BodyText"/>
        <w:widowControl/>
        <w:numPr>
          <w:ilvl w:val="0"/>
          <w:numId w:val="3"/>
        </w:numPr>
        <w:spacing w:lineRule="auto" w:line="240" w:before="0" w:after="0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VI. 236–336.</w:t>
      </w:r>
    </w:p>
    <w:p>
      <w:pPr>
        <w:pStyle w:val="BodyText"/>
        <w:widowControl/>
        <w:numPr>
          <w:ilvl w:val="0"/>
          <w:numId w:val="3"/>
        </w:numPr>
        <w:spacing w:lineRule="auto" w:line="240" w:before="0" w:after="142"/>
        <w:jc w:val="left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VI. 679–901.</w:t>
      </w:r>
    </w:p>
    <w:p>
      <w:pPr>
        <w:pStyle w:val="BodyText"/>
        <w:widowControl/>
        <w:spacing w:lineRule="auto" w:line="240"/>
        <w:ind w:hanging="0" w:left="0" w:right="0"/>
        <w:jc w:val="both"/>
        <w:rPr/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</w:rPr>
        <w:t>Szövegkiadás:</w:t>
      </w:r>
    </w:p>
    <w:p>
      <w:pPr>
        <w:pStyle w:val="BodyText"/>
        <w:widowControl/>
        <w:numPr>
          <w:ilvl w:val="0"/>
          <w:numId w:val="4"/>
        </w:numPr>
        <w:spacing w:lineRule="auto" w:line="240"/>
        <w:jc w:val="left"/>
        <w:rPr/>
      </w:pP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</w:rPr>
        <w:t>Auctores Latini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 XXI, </w:t>
      </w:r>
      <w:r>
        <w:rPr>
          <w:rFonts w:ascii="Liberation Serif" w:hAnsi="Liberation Serif"/>
          <w:b w:val="false"/>
          <w:i/>
          <w:iCs/>
          <w:caps w:val="false"/>
          <w:smallCaps w:val="false"/>
          <w:color w:val="auto"/>
          <w:spacing w:val="0"/>
          <w:sz w:val="24"/>
        </w:rPr>
        <w:t>Aeneis</w:t>
      </w: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 xml:space="preserve"> I–VI. Tankönyvkiadó 2001.</w:t>
      </w:r>
    </w:p>
    <w:p>
      <w:pPr>
        <w:pStyle w:val="BodyText"/>
        <w:widowControl/>
        <w:spacing w:lineRule="auto" w:line="240"/>
        <w:ind w:hanging="0" w:left="0" w:right="0"/>
        <w:jc w:val="left"/>
        <w:rPr/>
      </w:pPr>
      <w:r>
        <w:rPr>
          <w:rFonts w:ascii="Liberation Serif" w:hAnsi="Liberation Serif"/>
          <w:b w:val="false"/>
          <w:i/>
          <w:caps w:val="false"/>
          <w:smallCaps w:val="false"/>
          <w:color w:val="auto"/>
          <w:spacing w:val="0"/>
          <w:sz w:val="24"/>
        </w:rPr>
        <w:t>A jegyszerzés feltételei:</w:t>
      </w:r>
    </w:p>
    <w:p>
      <w:pPr>
        <w:pStyle w:val="BodyText"/>
        <w:widowControl/>
        <w:spacing w:lineRule="auto" w:line="240" w:before="0" w:after="140"/>
        <w:ind w:hanging="0" w:left="0" w:right="0"/>
        <w:jc w:val="both"/>
        <w:rPr/>
      </w:pPr>
      <w:r>
        <w:rPr>
          <w:rFonts w:ascii="Liberation Serif" w:hAnsi="Liberation Serif"/>
          <w:b w:val="false"/>
          <w:i w:val="false"/>
          <w:caps w:val="false"/>
          <w:smallCaps w:val="false"/>
          <w:color w:val="auto"/>
          <w:spacing w:val="0"/>
          <w:sz w:val="24"/>
        </w:rPr>
        <w:t>A szeminárium látogatásköteles, a hallgató összesen 3 alkalommal hiányozhat. Értékelés órai munka és félév végi szóbeli beszámoló illetve zárthelyi dolgozat alapján. Távoktatás ideje alatt a szeminárium és a beszámoló videokonferencia (Webex) formájában, a dolgozatok pedig teszt formájában valósulnak meg az elearning rendszeren belül.</w:t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u-H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u-H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27a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hu-HU" w:eastAsia="hu-H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-hivatkozs">
    <w:name w:val="Internet-hivatkozás"/>
    <w:qFormat/>
    <w:rPr>
      <w:color w:val="000080"/>
      <w:u w:val="single"/>
      <w:lang w:val="zxx" w:eastAsia="zxx" w:bidi="zxx"/>
    </w:rPr>
  </w:style>
  <w:style w:type="character" w:styleId="Felsorolsjel">
    <w:name w:val="Felsorolásjel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Cmsor">
    <w:name w:val="Címso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Trgymutat">
    <w:name w:val="Tárgymutató"/>
    <w:basedOn w:val="Normal"/>
    <w:qFormat/>
    <w:pPr>
      <w:suppressLineNumbers/>
    </w:pPr>
    <w:rPr>
      <w:rFonts w:cs="Noto Sans Devanagari"/>
    </w:rPr>
  </w:style>
  <w:style w:type="paragraph" w:styleId="lfejsllb">
    <w:name w:val="Élőfej és élőláb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lfejsllb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tblzat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ovacs.istvan@arts.unideb.hu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-té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  <Pages>1</Pages>
  <Words>285</Words>
  <Characters>1946</Characters>
  <CharactersWithSpaces>2189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2026-08-31T20:48:01Z</dcterms:created>
  <dc:creator/>
  <dc:description/>
  <dc:language>hu-HU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