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6BA3" w14:textId="4C85F5FF" w:rsidR="00DB5BA9" w:rsidRDefault="00DB5BA9" w:rsidP="00DB5BA9">
      <w:pPr>
        <w:jc w:val="center"/>
        <w:rPr>
          <w:b/>
          <w:bCs/>
        </w:rPr>
      </w:pPr>
      <w:r>
        <w:rPr>
          <w:b/>
          <w:bCs/>
        </w:rPr>
        <w:t>Tematika</w:t>
      </w:r>
    </w:p>
    <w:p w14:paraId="5836DA30" w14:textId="77777777" w:rsidR="00DB5BA9" w:rsidRDefault="00DB5BA9" w:rsidP="00DB5BA9">
      <w:pPr>
        <w:jc w:val="center"/>
        <w:rPr>
          <w:b/>
          <w:bCs/>
        </w:rPr>
      </w:pPr>
    </w:p>
    <w:p w14:paraId="6F561ECC" w14:textId="4C2702AC" w:rsidR="00DB5BA9" w:rsidRPr="00DB5BA9" w:rsidRDefault="00085883">
      <w:pPr>
        <w:rPr>
          <w:b/>
          <w:bCs/>
        </w:rPr>
      </w:pPr>
      <w:r w:rsidRPr="00DB5BA9">
        <w:rPr>
          <w:b/>
          <w:bCs/>
        </w:rPr>
        <w:t>BTTR716OMA – Ókortörténeti szeminárium</w:t>
      </w:r>
    </w:p>
    <w:p w14:paraId="15DB1EF2" w14:textId="39D1B093" w:rsidR="00071CF5" w:rsidRDefault="00085883">
      <w:r>
        <w:t>Sz: 14:00-15:30</w:t>
      </w:r>
      <w:r w:rsidR="00DB5BA9">
        <w:t>, Főépület 407/5</w:t>
      </w:r>
    </w:p>
    <w:p w14:paraId="2A4D7717" w14:textId="77777777" w:rsidR="00DB5BA9" w:rsidRDefault="00DB5BA9"/>
    <w:p w14:paraId="16C7620D" w14:textId="31C08274" w:rsidR="00FB2FD1" w:rsidRPr="00FB2FD1" w:rsidRDefault="00DB5BA9" w:rsidP="00FB2FD1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Témák:</w:t>
      </w:r>
    </w:p>
    <w:p w14:paraId="53D34974" w14:textId="77777777" w:rsidR="00FB2FD1" w:rsidRPr="00FB2FD1" w:rsidRDefault="00FB2FD1" w:rsidP="00FB2FD1">
      <w:pPr>
        <w:spacing w:line="240" w:lineRule="auto"/>
        <w:ind w:left="360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03DD26DC" w14:textId="36403B5D" w:rsidR="00DB5BA9" w:rsidRPr="00FB2FD1" w:rsidRDefault="00FB2FD1" w:rsidP="00FB2FD1">
      <w:p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>
        <w:rPr>
          <w:rFonts w:eastAsia="Times New Roman"/>
          <w:color w:val="000000"/>
          <w:kern w:val="0"/>
          <w:lang w:eastAsia="hu-HU"/>
          <w14:ligatures w14:val="none"/>
        </w:rPr>
        <w:t xml:space="preserve">1. </w:t>
      </w:r>
      <w:r>
        <w:rPr>
          <w:rFonts w:eastAsia="Times New Roman"/>
          <w:color w:val="000000"/>
          <w:kern w:val="0"/>
          <w:lang w:eastAsia="hu-HU"/>
          <w14:ligatures w14:val="none"/>
        </w:rPr>
        <w:tab/>
      </w:r>
      <w:r w:rsidR="00DB5BA9" w:rsidRPr="00FB2FD1">
        <w:rPr>
          <w:rFonts w:eastAsia="Times New Roman"/>
          <w:color w:val="000000"/>
          <w:kern w:val="0"/>
          <w:lang w:eastAsia="hu-HU"/>
          <w14:ligatures w14:val="none"/>
        </w:rPr>
        <w:t>Követelmények és tematika ismertetése</w:t>
      </w:r>
    </w:p>
    <w:p w14:paraId="56287C2B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6A306AF0" w14:textId="77777777" w:rsidR="00DB5BA9" w:rsidRPr="00DB5BA9" w:rsidRDefault="00DB5BA9" w:rsidP="00DB5BA9">
      <w:pPr>
        <w:numPr>
          <w:ilvl w:val="0"/>
          <w:numId w:val="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Forrástani ismeretek megalapozása</w:t>
      </w:r>
    </w:p>
    <w:p w14:paraId="5E8379EA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74E8E217" w14:textId="77777777" w:rsidR="00DB5BA9" w:rsidRPr="00DB5BA9" w:rsidRDefault="00DB5BA9" w:rsidP="00DB5BA9">
      <w:pPr>
        <w:numPr>
          <w:ilvl w:val="0"/>
          <w:numId w:val="3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Ókori történetírás -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Hérodotos</w:t>
      </w:r>
      <w:proofErr w:type="spellEnd"/>
    </w:p>
    <w:p w14:paraId="253695A0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3A16EBF9" w14:textId="77777777" w:rsidR="00DB5BA9" w:rsidRPr="00DB5BA9" w:rsidRDefault="00DB5BA9" w:rsidP="00DB5BA9">
      <w:pPr>
        <w:numPr>
          <w:ilvl w:val="0"/>
          <w:numId w:val="4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Ókori történetírás -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Thukydidés</w:t>
      </w:r>
      <w:proofErr w:type="spellEnd"/>
    </w:p>
    <w:p w14:paraId="1C6788ED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4AFC9AED" w14:textId="77777777" w:rsidR="00DB5BA9" w:rsidRPr="00DB5BA9" w:rsidRDefault="00DB5BA9" w:rsidP="00DB5BA9">
      <w:pPr>
        <w:numPr>
          <w:ilvl w:val="0"/>
          <w:numId w:val="5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Ókori történetírás -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Lukianos</w:t>
      </w:r>
      <w:proofErr w:type="spellEnd"/>
    </w:p>
    <w:p w14:paraId="57D06417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709CB911" w14:textId="77777777" w:rsidR="00DB5BA9" w:rsidRPr="00DB5BA9" w:rsidRDefault="00DB5BA9" w:rsidP="00DB5BA9">
      <w:pPr>
        <w:numPr>
          <w:ilvl w:val="0"/>
          <w:numId w:val="6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Ókori társadalmak - Spárta</w:t>
      </w:r>
    </w:p>
    <w:p w14:paraId="4774C4E6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65B291FB" w14:textId="77777777" w:rsidR="00DB5BA9" w:rsidRPr="00DB5BA9" w:rsidRDefault="00DB5BA9" w:rsidP="00DB5BA9">
      <w:pPr>
        <w:numPr>
          <w:ilvl w:val="0"/>
          <w:numId w:val="7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Ókori társadalmak - Athén</w:t>
      </w:r>
    </w:p>
    <w:p w14:paraId="0E972FA4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590B57CE" w14:textId="77777777" w:rsidR="00DB5BA9" w:rsidRPr="00DB5BA9" w:rsidRDefault="00DB5BA9" w:rsidP="00DB5BA9">
      <w:pPr>
        <w:numPr>
          <w:ilvl w:val="0"/>
          <w:numId w:val="8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Ókori társadalmak - Róma</w:t>
      </w:r>
    </w:p>
    <w:p w14:paraId="233460A4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2B6C2F26" w14:textId="77777777" w:rsidR="00DB5BA9" w:rsidRPr="00DB5BA9" w:rsidRDefault="00DB5BA9" w:rsidP="00DB5BA9">
      <w:pPr>
        <w:numPr>
          <w:ilvl w:val="0"/>
          <w:numId w:val="9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Varia - A római mezőgazdaság</w:t>
      </w:r>
    </w:p>
    <w:p w14:paraId="705987CA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35BB390F" w14:textId="77777777" w:rsidR="00DB5BA9" w:rsidRPr="00DB5BA9" w:rsidRDefault="00DB5BA9" w:rsidP="00DB5BA9">
      <w:pPr>
        <w:numPr>
          <w:ilvl w:val="0"/>
          <w:numId w:val="10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Varia - A római hadsereg</w:t>
      </w:r>
    </w:p>
    <w:p w14:paraId="6A88C4D8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1BF48EDA" w14:textId="115A9B5B" w:rsidR="00DB5BA9" w:rsidRPr="00DB5BA9" w:rsidRDefault="00DB5BA9" w:rsidP="00DB5BA9">
      <w:pPr>
        <w:numPr>
          <w:ilvl w:val="0"/>
          <w:numId w:val="1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Varia </w:t>
      </w:r>
      <w:r>
        <w:rPr>
          <w:rFonts w:eastAsia="Times New Roman"/>
          <w:color w:val="000000"/>
          <w:kern w:val="0"/>
          <w:lang w:eastAsia="hu-HU"/>
          <w14:ligatures w14:val="none"/>
        </w:rPr>
        <w:t>–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r>
        <w:rPr>
          <w:rFonts w:eastAsia="Times New Roman"/>
          <w:color w:val="000000"/>
          <w:kern w:val="0"/>
          <w:lang w:eastAsia="hu-HU"/>
          <w14:ligatures w14:val="none"/>
        </w:rPr>
        <w:t>A hellenizmus</w:t>
      </w:r>
    </w:p>
    <w:p w14:paraId="101908C1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2B719980" w14:textId="77777777" w:rsidR="00DB5BA9" w:rsidRPr="00DB5BA9" w:rsidRDefault="00DB5BA9" w:rsidP="00DB5BA9">
      <w:pPr>
        <w:numPr>
          <w:ilvl w:val="0"/>
          <w:numId w:val="1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Zárthelyi dolgozat</w:t>
      </w:r>
    </w:p>
    <w:p w14:paraId="401A7E9E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kern w:val="0"/>
          <w:lang w:eastAsia="hu-HU"/>
          <w14:ligatures w14:val="none"/>
        </w:rPr>
        <w:br/>
      </w:r>
    </w:p>
    <w:p w14:paraId="5378594D" w14:textId="77777777" w:rsidR="00DB5BA9" w:rsidRPr="00DB5BA9" w:rsidRDefault="00DB5BA9" w:rsidP="00DB5BA9">
      <w:pPr>
        <w:numPr>
          <w:ilvl w:val="0"/>
          <w:numId w:val="13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Ellenőrzés, értékelés</w:t>
      </w:r>
    </w:p>
    <w:p w14:paraId="4B06BA03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5C1AD32A" w14:textId="2897149C" w:rsidR="00DB5BA9" w:rsidRPr="00DB5BA9" w:rsidRDefault="00DB5BA9" w:rsidP="00DB5BA9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b/>
          <w:bCs/>
          <w:color w:val="000000"/>
          <w:kern w:val="0"/>
          <w:u w:val="single"/>
          <w:lang w:eastAsia="hu-HU"/>
          <w14:ligatures w14:val="none"/>
        </w:rPr>
        <w:t>Értékelés, a félév menete</w:t>
      </w:r>
      <w:r w:rsidRPr="00DB5BA9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: 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A</w:t>
      </w:r>
      <w:r>
        <w:rPr>
          <w:rFonts w:eastAsia="Times New Roman"/>
          <w:color w:val="000000"/>
          <w:kern w:val="0"/>
          <w:lang w:eastAsia="hu-HU"/>
          <w14:ligatures w14:val="none"/>
        </w:rPr>
        <w:t xml:space="preserve"> kurzus célja megalapozni a hallgatók forrástani ismereteit, majd ezt követően áttekinteni néhány olyan témakört, melynek a kidolgozása segíti a hallgatót a zárószigorlatra való felkészülésben. Az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egyes témákhoz kapcsolódó irodalmat és/vagy 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lastRenderedPageBreak/>
        <w:t>forrásrészle</w:t>
      </w:r>
      <w:r>
        <w:rPr>
          <w:rFonts w:eastAsia="Times New Roman"/>
          <w:color w:val="000000"/>
          <w:kern w:val="0"/>
          <w:lang w:eastAsia="hu-HU"/>
          <w14:ligatures w14:val="none"/>
        </w:rPr>
        <w:t>teket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a hallgatók a félév során</w:t>
      </w:r>
      <w:r>
        <w:rPr>
          <w:rFonts w:eastAsia="Times New Roman"/>
          <w:color w:val="000000"/>
          <w:kern w:val="0"/>
          <w:lang w:eastAsia="hu-HU"/>
          <w14:ligatures w14:val="none"/>
        </w:rPr>
        <w:t xml:space="preserve"> digitalizálva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megkapják. A féléves munka értékelése a zárthelyi dolgozat alapján történik. A dolgozat tartalma: a témákhoz kapcsolódó fogalmak, nevek és évszámok, valamint a tanórákon kötelezően feldolgozandó olvasmányokra és forrásokra vonatkozó kérdések. Az érdemjegyek az alábbiak szerint alakulnak: 0-50% elégtelen, 51-60% elégséges, 61-74% közepes, 75-84% jó, jeles 85-100%</w:t>
      </w:r>
    </w:p>
    <w:p w14:paraId="0C23D671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55E65AE8" w14:textId="77777777" w:rsidR="00DB5BA9" w:rsidRPr="00DB5BA9" w:rsidRDefault="00DB5BA9" w:rsidP="00DB5BA9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Az aktív órai részvétel az érdemjegyet pozitív irányba befolyásolhatja.</w:t>
      </w:r>
    </w:p>
    <w:p w14:paraId="013A566B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3611FC12" w14:textId="77777777" w:rsidR="00DB5BA9" w:rsidRPr="00DB5BA9" w:rsidRDefault="00DB5BA9" w:rsidP="00DB5BA9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Ajánlott irodalom:</w:t>
      </w:r>
    </w:p>
    <w:p w14:paraId="6B001707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Havas L. – Hegyi W.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Gy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. – Szabó E.: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Római történelem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Osiris, 2007.</w:t>
      </w:r>
    </w:p>
    <w:p w14:paraId="7D8060B3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Borhy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L. (szerk.):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Római történelem. Szöveggyűjtemény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Osiris 2003.</w:t>
      </w:r>
    </w:p>
    <w:p w14:paraId="410AA84A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Németh György (szerk.):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Görög-római szöveggyűjtemény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Osiris, 2011.</w:t>
      </w:r>
    </w:p>
    <w:p w14:paraId="50E70310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Alföldy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G.: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Római társadalomtörténet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. Budapest,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Pytheas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, 1996.</w:t>
      </w:r>
    </w:p>
    <w:p w14:paraId="496D5108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Földi A. – Hamza G.: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római jog története és institúciói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Nemzeti Tankönyvkiadó, 2006.</w:t>
      </w:r>
    </w:p>
    <w:p w14:paraId="01CA800B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Havas L. – Németh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Gy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. – Szabó E.: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Római történeti kézikönyv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Korona, 2001.</w:t>
      </w:r>
    </w:p>
    <w:p w14:paraId="509EDB32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Maróti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E. (szerk.):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Rabszolgák az ókori Rómában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Budapest, Gondolat, 1969.</w:t>
      </w:r>
    </w:p>
    <w:p w14:paraId="794BE5A7" w14:textId="77777777" w:rsidR="00DB5BA9" w:rsidRPr="00DB5BA9" w:rsidRDefault="00DB5BA9" w:rsidP="00DB5B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Grüll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T.: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Az utolsó birodalom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. Budapest, </w:t>
      </w: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Typotex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 2007.</w:t>
      </w:r>
    </w:p>
    <w:p w14:paraId="0BAA9E34" w14:textId="1053B0D5" w:rsidR="00DB5BA9" w:rsidRPr="00F52FA9" w:rsidRDefault="00DB5BA9" w:rsidP="00F52FA9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proofErr w:type="spellStart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>Goldsworthy</w:t>
      </w:r>
      <w:proofErr w:type="spellEnd"/>
      <w:r w:rsidRPr="00DB5BA9">
        <w:rPr>
          <w:rFonts w:eastAsia="Times New Roman"/>
          <w:color w:val="000000"/>
          <w:kern w:val="0"/>
          <w:lang w:eastAsia="hu-HU"/>
          <w14:ligatures w14:val="none"/>
        </w:rPr>
        <w:t xml:space="preserve">, A.: </w:t>
      </w:r>
      <w:r w:rsidRPr="00DB5BA9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római hadsereg története</w:t>
      </w:r>
      <w:r w:rsidRPr="00DB5BA9">
        <w:rPr>
          <w:rFonts w:eastAsia="Times New Roman"/>
          <w:color w:val="000000"/>
          <w:kern w:val="0"/>
          <w:lang w:eastAsia="hu-HU"/>
          <w14:ligatures w14:val="none"/>
        </w:rPr>
        <w:t>. Pécs, Alexandra, 2004.</w:t>
      </w:r>
    </w:p>
    <w:sectPr w:rsidR="00DB5BA9" w:rsidRPr="00F5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7BB"/>
    <w:multiLevelType w:val="multilevel"/>
    <w:tmpl w:val="B1407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D90"/>
    <w:multiLevelType w:val="multilevel"/>
    <w:tmpl w:val="A1BC2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F1480"/>
    <w:multiLevelType w:val="multilevel"/>
    <w:tmpl w:val="2962D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57CD8"/>
    <w:multiLevelType w:val="multilevel"/>
    <w:tmpl w:val="82E625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8563F"/>
    <w:multiLevelType w:val="multilevel"/>
    <w:tmpl w:val="E8DAA5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77C54"/>
    <w:multiLevelType w:val="hybridMultilevel"/>
    <w:tmpl w:val="C6C8A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22E4"/>
    <w:multiLevelType w:val="multilevel"/>
    <w:tmpl w:val="957EAA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6BAB"/>
    <w:multiLevelType w:val="multilevel"/>
    <w:tmpl w:val="85DA7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91FC2"/>
    <w:multiLevelType w:val="multilevel"/>
    <w:tmpl w:val="FC7A6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54B6E"/>
    <w:multiLevelType w:val="multilevel"/>
    <w:tmpl w:val="FE489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B32C1"/>
    <w:multiLevelType w:val="multilevel"/>
    <w:tmpl w:val="B3CE6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44E59"/>
    <w:multiLevelType w:val="multilevel"/>
    <w:tmpl w:val="F5AE9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90A04"/>
    <w:multiLevelType w:val="multilevel"/>
    <w:tmpl w:val="B6E89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75997"/>
    <w:multiLevelType w:val="multilevel"/>
    <w:tmpl w:val="989C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370257">
    <w:abstractNumId w:val="13"/>
  </w:num>
  <w:num w:numId="2" w16cid:durableId="1665401791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51970343">
    <w:abstractNumId w:val="9"/>
    <w:lvlOverride w:ilvl="0">
      <w:lvl w:ilvl="0">
        <w:numFmt w:val="decimal"/>
        <w:lvlText w:val="%1."/>
        <w:lvlJc w:val="left"/>
      </w:lvl>
    </w:lvlOverride>
  </w:num>
  <w:num w:numId="4" w16cid:durableId="999888623">
    <w:abstractNumId w:val="8"/>
    <w:lvlOverride w:ilvl="0">
      <w:lvl w:ilvl="0">
        <w:numFmt w:val="decimal"/>
        <w:lvlText w:val="%1."/>
        <w:lvlJc w:val="left"/>
      </w:lvl>
    </w:lvlOverride>
  </w:num>
  <w:num w:numId="5" w16cid:durableId="1782071738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77065873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674575074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083211859">
    <w:abstractNumId w:val="0"/>
    <w:lvlOverride w:ilvl="0">
      <w:lvl w:ilvl="0">
        <w:numFmt w:val="decimal"/>
        <w:lvlText w:val="%1."/>
        <w:lvlJc w:val="left"/>
      </w:lvl>
    </w:lvlOverride>
  </w:num>
  <w:num w:numId="9" w16cid:durableId="292558512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919442573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925649289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936906456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237832988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707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1"/>
    <w:rsid w:val="00071CF5"/>
    <w:rsid w:val="00085883"/>
    <w:rsid w:val="003E1421"/>
    <w:rsid w:val="00792178"/>
    <w:rsid w:val="0083462B"/>
    <w:rsid w:val="00B9244C"/>
    <w:rsid w:val="00C623A5"/>
    <w:rsid w:val="00DB5BA9"/>
    <w:rsid w:val="00F32FB6"/>
    <w:rsid w:val="00F52FA9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C4A4"/>
  <w15:chartTrackingRefBased/>
  <w15:docId w15:val="{0AC878A0-66F7-40D3-B6E1-2208F7C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E14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14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142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142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142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2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2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2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2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14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14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14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1421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1421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21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21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21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21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3E14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1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E142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E14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E14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E1421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E142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E142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21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3E1421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DB5BA9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4</cp:revision>
  <dcterms:created xsi:type="dcterms:W3CDTF">2024-02-09T16:32:00Z</dcterms:created>
  <dcterms:modified xsi:type="dcterms:W3CDTF">2024-02-12T09:09:00Z</dcterms:modified>
</cp:coreProperties>
</file>