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1491" w14:textId="62CE091A" w:rsidR="001E766E" w:rsidRPr="001E766E" w:rsidRDefault="001E766E" w:rsidP="001E766E">
      <w:pPr>
        <w:jc w:val="center"/>
      </w:pPr>
      <w:r w:rsidRPr="001E766E">
        <w:t>Politikai struktúrák, államrendszerek, intézmények (BTTR420OMA</w:t>
      </w:r>
      <w:r w:rsidR="00ED2845">
        <w:t xml:space="preserve">; </w:t>
      </w:r>
      <w:r w:rsidR="00ED2845" w:rsidRPr="000C2E34">
        <w:t>BTTR</w:t>
      </w:r>
      <w:r w:rsidR="00ED2845">
        <w:t>1</w:t>
      </w:r>
      <w:r w:rsidR="00ED2845" w:rsidRPr="000C2E34">
        <w:t>20</w:t>
      </w:r>
      <w:r w:rsidR="00ED2845">
        <w:t>0D</w:t>
      </w:r>
      <w:r w:rsidR="00ED2845" w:rsidRPr="000C2E34">
        <w:t>MA</w:t>
      </w:r>
      <w:r w:rsidRPr="001E766E">
        <w:t>)</w:t>
      </w:r>
    </w:p>
    <w:p w14:paraId="296A0540" w14:textId="2392E950" w:rsidR="001E766E" w:rsidRPr="001E766E" w:rsidRDefault="001E766E" w:rsidP="001E766E">
      <w:pPr>
        <w:jc w:val="center"/>
        <w:rPr>
          <w:i/>
        </w:rPr>
      </w:pPr>
      <w:r w:rsidRPr="001E766E">
        <w:rPr>
          <w:i/>
        </w:rPr>
        <w:t>Kedd 14.00–16.00; XII.</w:t>
      </w:r>
    </w:p>
    <w:p w14:paraId="6358246A" w14:textId="77777777" w:rsidR="001E766E" w:rsidRPr="001E766E" w:rsidRDefault="001E766E" w:rsidP="001E766E">
      <w:pPr>
        <w:pStyle w:val="Szvegtrzs"/>
        <w:rPr>
          <w:sz w:val="24"/>
          <w:szCs w:val="24"/>
        </w:rPr>
      </w:pPr>
    </w:p>
    <w:p w14:paraId="2C289F3B" w14:textId="4A8D3F99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Kurzusleírás: Az előadás a 18–20. századi magyar és közép-európai történelmen keresztül mutatja be a birodalomszervezés kora újkori feltételeit, és azt a folyamatot, ahogy kibontakozik a nemzetállami fejlődés. Mindez sajátosan érinti a birodalmi kereteket, így a meglehetősen összetett Habsburg Birodalmat is. Részben megjelennek a birodalmat szétfeszítő politikai szándékok, illetve azt a nemzeti fejlődéshez igazító törekvések, a föderatív elképzelések. Másrészt az sem kizárt, hogy a nemzeti programok a birodalmi kereteken belül valósulnak meg. A tematika mindeközben olyan politikatörténeti szituációkat is bemutat és elemez, amelyekből strukturális következtetések vonhatók le, illetve általánosabb összefüggések megvilágítására töreksz</w:t>
      </w:r>
      <w:r w:rsidR="00183616">
        <w:rPr>
          <w:sz w:val="24"/>
          <w:szCs w:val="24"/>
        </w:rPr>
        <w:t>i</w:t>
      </w:r>
      <w:r w:rsidRPr="001E766E">
        <w:rPr>
          <w:sz w:val="24"/>
          <w:szCs w:val="24"/>
        </w:rPr>
        <w:t>k a tér és az idő történeti szemantikájával kapcsolatban.</w:t>
      </w:r>
    </w:p>
    <w:p w14:paraId="2D716DC1" w14:textId="77777777" w:rsidR="001E766E" w:rsidRPr="001E766E" w:rsidRDefault="001E766E" w:rsidP="001E766E">
      <w:pPr>
        <w:pStyle w:val="Szvegtrzs"/>
        <w:rPr>
          <w:sz w:val="24"/>
          <w:szCs w:val="24"/>
        </w:rPr>
      </w:pPr>
    </w:p>
    <w:p w14:paraId="738C5E5A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Tematika:</w:t>
      </w:r>
    </w:p>
    <w:p w14:paraId="6B0C8958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1. Birodalmak és nemzetállamok</w:t>
      </w:r>
    </w:p>
    <w:p w14:paraId="5AFDEF7A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2. Az alkotmány reformja. Az időszemlélet megváltozása</w:t>
      </w:r>
    </w:p>
    <w:p w14:paraId="5AD8F48F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3. 1848: Pest – Pozsony – Bécs. A politika és a tér kölcsönhatásai</w:t>
      </w:r>
    </w:p>
    <w:p w14:paraId="502AF89A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4. Föderatív elképzelések a közép-európai politikai tér átalakítására</w:t>
      </w:r>
    </w:p>
    <w:p w14:paraId="1B8FFFF1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5. Konföderációs tervek az 1848-as emigrációkban</w:t>
      </w:r>
    </w:p>
    <w:p w14:paraId="7E5A8BC6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6. Parlamenti hagyomány és polgári parlamentarizmus</w:t>
      </w:r>
    </w:p>
    <w:p w14:paraId="72B13937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7. A népképviselet tartalma és buktatói</w:t>
      </w:r>
    </w:p>
    <w:p w14:paraId="13ECF0CA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8. A parlamenti képviselők összetétele a 19–20. században</w:t>
      </w:r>
    </w:p>
    <w:p w14:paraId="03DE27F7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9. Kossuth Lajos és Ferenc József. Ellentét, szimbolikus politika és kultusz</w:t>
      </w:r>
    </w:p>
    <w:p w14:paraId="7CAFD324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10. Föderatív tervek a 20. század elején. Jászi Oszkár „Dunai Egyesült Államok” tervezete</w:t>
      </w:r>
    </w:p>
    <w:p w14:paraId="004416ED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11. Az 1905–6. évi politikai válság</w:t>
      </w:r>
    </w:p>
    <w:p w14:paraId="4F30258A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12. Erőszak és politika</w:t>
      </w:r>
    </w:p>
    <w:p w14:paraId="051CF5C1" w14:textId="77777777" w:rsidR="001E766E" w:rsidRPr="001E766E" w:rsidRDefault="001E766E" w:rsidP="001E766E">
      <w:pPr>
        <w:pStyle w:val="Szvegtrzs"/>
        <w:rPr>
          <w:sz w:val="24"/>
          <w:szCs w:val="24"/>
        </w:rPr>
      </w:pPr>
    </w:p>
    <w:p w14:paraId="430CAE14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Irodalom:</w:t>
      </w:r>
    </w:p>
    <w:p w14:paraId="587EFB3F" w14:textId="77777777" w:rsidR="001E766E" w:rsidRPr="001E766E" w:rsidRDefault="001E766E" w:rsidP="001E766E">
      <w:pPr>
        <w:pStyle w:val="Szvegtrzs"/>
        <w:rPr>
          <w:sz w:val="24"/>
          <w:szCs w:val="24"/>
        </w:rPr>
      </w:pPr>
    </w:p>
    <w:p w14:paraId="1A7992C1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Manent, Pierre: </w:t>
      </w:r>
      <w:r w:rsidRPr="001E766E">
        <w:rPr>
          <w:i/>
          <w:iCs/>
          <w:sz w:val="24"/>
          <w:szCs w:val="24"/>
        </w:rPr>
        <w:t>Európa és a teologiko-politikai probléma</w:t>
      </w:r>
      <w:r w:rsidRPr="001E766E">
        <w:rPr>
          <w:sz w:val="24"/>
          <w:szCs w:val="24"/>
        </w:rPr>
        <w:t xml:space="preserve"> in: Uő.: </w:t>
      </w:r>
      <w:r w:rsidRPr="001E766E">
        <w:rPr>
          <w:i/>
          <w:iCs/>
          <w:sz w:val="24"/>
          <w:szCs w:val="24"/>
        </w:rPr>
        <w:t>A liberális gondolat története</w:t>
      </w:r>
      <w:r w:rsidRPr="001E766E">
        <w:rPr>
          <w:sz w:val="24"/>
          <w:szCs w:val="24"/>
        </w:rPr>
        <w:t xml:space="preserve"> Pécs, 1994. 13–20.</w:t>
      </w:r>
    </w:p>
    <w:p w14:paraId="44FFBB0C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Pálffy Géza: </w:t>
      </w:r>
      <w:r w:rsidRPr="001E766E">
        <w:rPr>
          <w:i/>
          <w:iCs/>
          <w:sz w:val="24"/>
          <w:szCs w:val="24"/>
        </w:rPr>
        <w:t>A Magyar Királyság és a Habsburg Monarchia a 16. században</w:t>
      </w:r>
      <w:r w:rsidRPr="001E766E">
        <w:rPr>
          <w:sz w:val="24"/>
          <w:szCs w:val="24"/>
        </w:rPr>
        <w:t xml:space="preserve"> Bp., 2016. 32–38., 42–49., 77–93.</w:t>
      </w:r>
    </w:p>
    <w:p w14:paraId="21B79966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Péter László: Az Elbától keletre. </w:t>
      </w:r>
      <w:r w:rsidRPr="001E766E">
        <w:rPr>
          <w:i/>
          <w:iCs/>
          <w:sz w:val="24"/>
          <w:szCs w:val="24"/>
        </w:rPr>
        <w:t>Tanulmányok a magyar és kelet-európai történelemből</w:t>
      </w:r>
      <w:r w:rsidRPr="001E766E">
        <w:rPr>
          <w:sz w:val="24"/>
          <w:szCs w:val="24"/>
        </w:rPr>
        <w:t xml:space="preserve"> Bp., 1998. 290–338., 342–354.</w:t>
      </w:r>
    </w:p>
    <w:p w14:paraId="1B848FF6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Urbán Aladár: </w:t>
      </w:r>
      <w:r w:rsidRPr="001E766E">
        <w:rPr>
          <w:i/>
          <w:iCs/>
          <w:sz w:val="24"/>
          <w:szCs w:val="24"/>
        </w:rPr>
        <w:t>Batthyány Lajos miniszterelnöksége</w:t>
      </w:r>
      <w:r w:rsidRPr="001E766E">
        <w:rPr>
          <w:sz w:val="24"/>
          <w:szCs w:val="24"/>
        </w:rPr>
        <w:t xml:space="preserve"> Bp., 1986. 17–233.</w:t>
      </w:r>
    </w:p>
    <w:p w14:paraId="479382CB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Gergely András: </w:t>
      </w:r>
      <w:r w:rsidRPr="001E766E">
        <w:rPr>
          <w:i/>
          <w:sz w:val="24"/>
          <w:szCs w:val="24"/>
        </w:rPr>
        <w:t>1848-ban hogy is volt? Tanulmányok Magyarország és Közép-Európa 1848–49-es történetéből</w:t>
      </w:r>
      <w:r w:rsidRPr="001E766E">
        <w:rPr>
          <w:sz w:val="24"/>
          <w:szCs w:val="24"/>
        </w:rPr>
        <w:t xml:space="preserve"> Bp., 2001. 255–318.</w:t>
      </w:r>
    </w:p>
    <w:p w14:paraId="010D88F5" w14:textId="77777777" w:rsidR="001E766E" w:rsidRPr="001E766E" w:rsidRDefault="001E766E" w:rsidP="001E766E">
      <w:pPr>
        <w:jc w:val="both"/>
        <w:rPr>
          <w:bCs/>
        </w:rPr>
      </w:pPr>
      <w:r w:rsidRPr="001E766E">
        <w:rPr>
          <w:bCs/>
        </w:rPr>
        <w:t xml:space="preserve">Mérei Gyula: </w:t>
      </w:r>
      <w:r w:rsidRPr="001E766E">
        <w:rPr>
          <w:bCs/>
          <w:i/>
          <w:iCs/>
        </w:rPr>
        <w:t>Föderációs tervek Délkelet-Európában és a Habsburg-monarchia 1840–1918</w:t>
      </w:r>
      <w:r w:rsidRPr="001E766E">
        <w:rPr>
          <w:bCs/>
        </w:rPr>
        <w:t xml:space="preserve">   Bp., 1965.</w:t>
      </w:r>
    </w:p>
    <w:p w14:paraId="7F4BBEFF" w14:textId="77777777" w:rsidR="001E766E" w:rsidRPr="001E766E" w:rsidRDefault="001E766E" w:rsidP="001E766E">
      <w:pPr>
        <w:jc w:val="both"/>
        <w:rPr>
          <w:bCs/>
        </w:rPr>
      </w:pPr>
      <w:r w:rsidRPr="001E766E">
        <w:rPr>
          <w:bCs/>
        </w:rPr>
        <w:t xml:space="preserve">Deák Ágnes: </w:t>
      </w:r>
      <w:r w:rsidRPr="001E766E">
        <w:rPr>
          <w:bCs/>
          <w:i/>
          <w:iCs/>
        </w:rPr>
        <w:t>A Habsburg Birodalom a nacionalizmus kihívásai között. Tervek és koncepciók a birodalom újjáalakítására (1848–1849)</w:t>
      </w:r>
      <w:r w:rsidRPr="001E766E">
        <w:rPr>
          <w:bCs/>
        </w:rPr>
        <w:t xml:space="preserve"> Aetas, 1997. 4. sz. 5–44.</w:t>
      </w:r>
    </w:p>
    <w:p w14:paraId="17EB2BFC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Romsics Ignác: </w:t>
      </w:r>
      <w:r w:rsidRPr="001E766E">
        <w:rPr>
          <w:i/>
          <w:iCs/>
          <w:sz w:val="24"/>
          <w:szCs w:val="24"/>
        </w:rPr>
        <w:t>A Habsburg Birodalom föderalizálási tervei</w:t>
      </w:r>
      <w:r w:rsidRPr="001E766E">
        <w:rPr>
          <w:sz w:val="24"/>
          <w:szCs w:val="24"/>
        </w:rPr>
        <w:t xml:space="preserve"> Európai Utas, 2001. 4. sz. 13–22.</w:t>
      </w:r>
    </w:p>
    <w:p w14:paraId="34031E6A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Katus László: </w:t>
      </w:r>
      <w:r w:rsidRPr="001E766E">
        <w:rPr>
          <w:i/>
          <w:iCs/>
          <w:sz w:val="24"/>
          <w:szCs w:val="24"/>
        </w:rPr>
        <w:t>Kossuth és a nemzetiségi kérdés</w:t>
      </w:r>
      <w:r w:rsidRPr="001E766E">
        <w:rPr>
          <w:sz w:val="24"/>
          <w:szCs w:val="24"/>
        </w:rPr>
        <w:t xml:space="preserve"> in: Hermann Róbert szerk. </w:t>
      </w:r>
      <w:r w:rsidRPr="001E766E">
        <w:rPr>
          <w:i/>
          <w:sz w:val="24"/>
          <w:szCs w:val="24"/>
        </w:rPr>
        <w:t>Kossuth Lajos, „a magyarok Mózese”</w:t>
      </w:r>
      <w:r w:rsidRPr="001E766E">
        <w:rPr>
          <w:sz w:val="24"/>
          <w:szCs w:val="24"/>
        </w:rPr>
        <w:t xml:space="preserve"> Bp., 2006. 45–74.</w:t>
      </w:r>
    </w:p>
    <w:p w14:paraId="76B2A75D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Pajkossy Gábor: </w:t>
      </w:r>
      <w:r w:rsidRPr="001E766E">
        <w:rPr>
          <w:i/>
          <w:iCs/>
          <w:sz w:val="24"/>
          <w:szCs w:val="24"/>
        </w:rPr>
        <w:t>Az 1862. évi Duna-konföderációs tervezet dokumentumai</w:t>
      </w:r>
      <w:r w:rsidRPr="001E766E">
        <w:rPr>
          <w:sz w:val="24"/>
          <w:szCs w:val="24"/>
        </w:rPr>
        <w:t xml:space="preserve"> Századok, 2002. 4. sz. 937–957.</w:t>
      </w:r>
    </w:p>
    <w:p w14:paraId="3ECB9957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Mezey Barna – Szente Zoltán szerk. </w:t>
      </w:r>
      <w:r w:rsidRPr="001E766E">
        <w:rPr>
          <w:i/>
          <w:iCs/>
          <w:sz w:val="24"/>
          <w:szCs w:val="24"/>
        </w:rPr>
        <w:t>Európai alkotmány- és parlamentarizmustörténet</w:t>
      </w:r>
      <w:r w:rsidRPr="001E766E">
        <w:rPr>
          <w:sz w:val="24"/>
          <w:szCs w:val="24"/>
        </w:rPr>
        <w:t xml:space="preserve"> Bp., 2003. 181–207., 284–302.</w:t>
      </w:r>
    </w:p>
    <w:p w14:paraId="23C67081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lastRenderedPageBreak/>
        <w:t xml:space="preserve">Cieger András: </w:t>
      </w:r>
      <w:r w:rsidRPr="001E766E">
        <w:rPr>
          <w:i/>
          <w:iCs/>
          <w:sz w:val="24"/>
          <w:szCs w:val="24"/>
        </w:rPr>
        <w:t>A magyar országgyűlés a dualizmus korában</w:t>
      </w:r>
      <w:r w:rsidRPr="001E766E">
        <w:rPr>
          <w:sz w:val="24"/>
          <w:szCs w:val="24"/>
        </w:rPr>
        <w:t xml:space="preserve"> I. </w:t>
      </w:r>
      <w:r w:rsidRPr="001E766E">
        <w:rPr>
          <w:i/>
          <w:iCs/>
          <w:sz w:val="24"/>
          <w:szCs w:val="24"/>
        </w:rPr>
        <w:t>A képviselőház (1865–1918)</w:t>
      </w:r>
      <w:r w:rsidRPr="001E766E">
        <w:rPr>
          <w:sz w:val="24"/>
          <w:szCs w:val="24"/>
        </w:rPr>
        <w:t xml:space="preserve"> Bp., 2022. 27–308.</w:t>
      </w:r>
    </w:p>
    <w:p w14:paraId="0ED6CCCC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Ilonszki Gabriella: </w:t>
      </w:r>
      <w:r w:rsidRPr="001E766E">
        <w:rPr>
          <w:i/>
          <w:iCs/>
          <w:sz w:val="24"/>
          <w:szCs w:val="24"/>
        </w:rPr>
        <w:t>Képviselők és képviselet Magyarországon a 19. és 20. században</w:t>
      </w:r>
      <w:r w:rsidRPr="001E766E">
        <w:rPr>
          <w:sz w:val="24"/>
          <w:szCs w:val="24"/>
        </w:rPr>
        <w:t xml:space="preserve"> Bp., 2009.</w:t>
      </w:r>
    </w:p>
    <w:p w14:paraId="617B6FF8" w14:textId="77777777" w:rsidR="001E766E" w:rsidRPr="001E766E" w:rsidRDefault="001E766E" w:rsidP="001E766E">
      <w:pPr>
        <w:jc w:val="both"/>
      </w:pPr>
      <w:r w:rsidRPr="001E766E">
        <w:rPr>
          <w:iCs/>
        </w:rPr>
        <w:t>Gerő András:</w:t>
      </w:r>
      <w:r w:rsidRPr="001E766E">
        <w:t xml:space="preserve"> </w:t>
      </w:r>
      <w:r w:rsidRPr="001E766E">
        <w:rPr>
          <w:i/>
          <w:iCs/>
        </w:rPr>
        <w:t>A nemzet apja, „Isten második fia” – Kossuth és kultusza</w:t>
      </w:r>
      <w:r w:rsidRPr="001E766E">
        <w:t xml:space="preserve"> in: </w:t>
      </w:r>
      <w:r w:rsidRPr="001E766E">
        <w:rPr>
          <w:iCs/>
        </w:rPr>
        <w:t>Uő:</w:t>
      </w:r>
      <w:r w:rsidRPr="001E766E">
        <w:t xml:space="preserve"> </w:t>
      </w:r>
      <w:r w:rsidRPr="001E766E">
        <w:rPr>
          <w:i/>
          <w:iCs/>
        </w:rPr>
        <w:t>Képzelt történelem. Fejezetek a magyar szimbolikus politika XIX–XX. századi történetéből</w:t>
      </w:r>
      <w:r w:rsidRPr="001E766E">
        <w:t xml:space="preserve"> Bp., 2004. 53–78.</w:t>
      </w:r>
    </w:p>
    <w:p w14:paraId="57837055" w14:textId="77777777" w:rsidR="001E766E" w:rsidRPr="001E766E" w:rsidRDefault="001E766E" w:rsidP="001E766E">
      <w:pPr>
        <w:jc w:val="both"/>
      </w:pPr>
      <w:r w:rsidRPr="001E766E">
        <w:rPr>
          <w:iCs/>
        </w:rPr>
        <w:t>Csorba László:</w:t>
      </w:r>
      <w:r w:rsidRPr="001E766E">
        <w:t xml:space="preserve"> </w:t>
      </w:r>
      <w:r w:rsidRPr="001E766E">
        <w:rPr>
          <w:i/>
          <w:iCs/>
        </w:rPr>
        <w:t>Kritika és kultusz: az öreg Kossuth Turinban</w:t>
      </w:r>
      <w:r w:rsidRPr="001E766E">
        <w:t xml:space="preserve"> in: Hermann Róbert szerk. </w:t>
      </w:r>
      <w:r w:rsidRPr="001E766E">
        <w:rPr>
          <w:i/>
          <w:iCs/>
        </w:rPr>
        <w:t>Kossuth Lajos, „a magyarok Mózese”</w:t>
      </w:r>
      <w:r w:rsidRPr="001E766E">
        <w:t xml:space="preserve"> Bp., 2006. 213–251.</w:t>
      </w:r>
    </w:p>
    <w:p w14:paraId="687954A7" w14:textId="77777777" w:rsidR="001E766E" w:rsidRPr="001E766E" w:rsidRDefault="001E766E" w:rsidP="001E766E">
      <w:pPr>
        <w:jc w:val="both"/>
      </w:pPr>
      <w:r w:rsidRPr="001E766E">
        <w:t xml:space="preserve">Hanák Péter: </w:t>
      </w:r>
      <w:r w:rsidRPr="001E766E">
        <w:rPr>
          <w:i/>
          <w:iCs/>
        </w:rPr>
        <w:t>Jászi Oszkár dunai patriotizmusa</w:t>
      </w:r>
      <w:r w:rsidRPr="001E766E">
        <w:t xml:space="preserve"> Bp., 1985. 67–80.</w:t>
      </w:r>
    </w:p>
    <w:p w14:paraId="11B17A77" w14:textId="77777777" w:rsidR="001E766E" w:rsidRPr="001E766E" w:rsidRDefault="001E766E" w:rsidP="001E766E">
      <w:pPr>
        <w:jc w:val="both"/>
        <w:rPr>
          <w:bCs/>
        </w:rPr>
      </w:pPr>
      <w:r w:rsidRPr="001E766E">
        <w:t xml:space="preserve">Litván György: </w:t>
      </w:r>
      <w:r w:rsidRPr="001E766E">
        <w:rPr>
          <w:i/>
          <w:iCs/>
        </w:rPr>
        <w:t>Jászi Oszkár</w:t>
      </w:r>
      <w:r w:rsidRPr="001E766E">
        <w:t xml:space="preserve"> Bp., 2003. 125–129.</w:t>
      </w:r>
    </w:p>
    <w:p w14:paraId="60B3DB01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Pölöskei Ferenc: </w:t>
      </w:r>
      <w:r w:rsidRPr="001E766E">
        <w:rPr>
          <w:i/>
          <w:sz w:val="24"/>
          <w:szCs w:val="24"/>
        </w:rPr>
        <w:t>A magyar parlamentarizmus a századfordulón (Politikusok és intézmények)</w:t>
      </w:r>
      <w:r w:rsidRPr="001E766E">
        <w:rPr>
          <w:sz w:val="24"/>
          <w:szCs w:val="24"/>
        </w:rPr>
        <w:t xml:space="preserve"> Bp., 2001.</w:t>
      </w:r>
    </w:p>
    <w:p w14:paraId="6EE5A2E8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Cieger András: </w:t>
      </w:r>
      <w:r w:rsidRPr="001E766E">
        <w:rPr>
          <w:i/>
          <w:iCs/>
          <w:sz w:val="24"/>
          <w:szCs w:val="24"/>
        </w:rPr>
        <w:t>Küzdelem az arénában. Az erőszak szerepe a magyar parlamenti politizálásban a dualizmus korában</w:t>
      </w:r>
      <w:r w:rsidRPr="001E766E">
        <w:rPr>
          <w:sz w:val="24"/>
          <w:szCs w:val="24"/>
        </w:rPr>
        <w:t xml:space="preserve"> Aetas, 2016. 1. sz. 116–124.</w:t>
      </w:r>
    </w:p>
    <w:p w14:paraId="7AA78D8C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 xml:space="preserve">Gyáni Gábor: </w:t>
      </w:r>
      <w:r w:rsidRPr="001E766E">
        <w:rPr>
          <w:i/>
          <w:iCs/>
          <w:sz w:val="24"/>
          <w:szCs w:val="24"/>
        </w:rPr>
        <w:t>Az utca és a szalon. A társadalmi térhasználat Budapesten (1870–1940)</w:t>
      </w:r>
      <w:r w:rsidRPr="001E766E">
        <w:rPr>
          <w:sz w:val="24"/>
          <w:szCs w:val="24"/>
        </w:rPr>
        <w:t xml:space="preserve"> Bp., 1998. 96–106.</w:t>
      </w:r>
    </w:p>
    <w:p w14:paraId="08EE2A06" w14:textId="77777777" w:rsidR="001E766E" w:rsidRPr="001E766E" w:rsidRDefault="001E766E" w:rsidP="001E766E">
      <w:pPr>
        <w:pStyle w:val="Szvegtrzs"/>
        <w:rPr>
          <w:sz w:val="24"/>
          <w:szCs w:val="24"/>
        </w:rPr>
      </w:pPr>
    </w:p>
    <w:p w14:paraId="33CEECE4" w14:textId="290752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>Debrecen, 2025. február 18.</w:t>
      </w:r>
    </w:p>
    <w:p w14:paraId="2462AFF6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  <w:t>Miru György</w:t>
      </w:r>
    </w:p>
    <w:p w14:paraId="79052EA1" w14:textId="77777777" w:rsidR="001E766E" w:rsidRPr="001E766E" w:rsidRDefault="001E766E" w:rsidP="001E766E">
      <w:pPr>
        <w:pStyle w:val="Szvegtrzs"/>
        <w:rPr>
          <w:sz w:val="24"/>
          <w:szCs w:val="24"/>
        </w:rPr>
      </w:pP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</w:r>
      <w:r w:rsidRPr="001E766E">
        <w:rPr>
          <w:sz w:val="24"/>
          <w:szCs w:val="24"/>
        </w:rPr>
        <w:tab/>
        <w:t xml:space="preserve">         egyetemi docens</w:t>
      </w:r>
    </w:p>
    <w:p w14:paraId="16CA15F9" w14:textId="77777777" w:rsidR="00866D4D" w:rsidRPr="001E766E" w:rsidRDefault="00866D4D" w:rsidP="001B0ABC"/>
    <w:sectPr w:rsidR="00866D4D" w:rsidRPr="001E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B6"/>
    <w:rsid w:val="00183616"/>
    <w:rsid w:val="001B0ABC"/>
    <w:rsid w:val="001C7CE8"/>
    <w:rsid w:val="001E766E"/>
    <w:rsid w:val="004336E9"/>
    <w:rsid w:val="004A1B40"/>
    <w:rsid w:val="00866D4D"/>
    <w:rsid w:val="00A63408"/>
    <w:rsid w:val="00B71287"/>
    <w:rsid w:val="00B82DB6"/>
    <w:rsid w:val="00C840AF"/>
    <w:rsid w:val="00DD6708"/>
    <w:rsid w:val="00E469F7"/>
    <w:rsid w:val="00E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4760"/>
  <w15:chartTrackingRefBased/>
  <w15:docId w15:val="{6E109F52-437D-4202-94AE-590EE1F3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36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82D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2D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2D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2D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2D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2D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2D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2D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2D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2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2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2D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2DB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2DB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2D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2D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2D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2D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2D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8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2D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82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2D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82D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2D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82DB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2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2DB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2DB6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1E766E"/>
    <w:pPr>
      <w:jc w:val="both"/>
    </w:pPr>
    <w:rPr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1E766E"/>
    <w:rPr>
      <w:rFonts w:ascii="Times New Roman" w:eastAsia="Times New Roman" w:hAnsi="Times New Roman" w:cs="Times New Roman"/>
      <w:bCs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EDU_WMQA_8460@sulid.hu</dc:creator>
  <cp:keywords/>
  <dc:description/>
  <cp:lastModifiedBy>EDU_WMQA_8460@sulid.hu</cp:lastModifiedBy>
  <cp:revision>6</cp:revision>
  <dcterms:created xsi:type="dcterms:W3CDTF">2024-08-29T09:41:00Z</dcterms:created>
  <dcterms:modified xsi:type="dcterms:W3CDTF">2025-01-31T15:44:00Z</dcterms:modified>
</cp:coreProperties>
</file>