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624F" w14:textId="77777777" w:rsidR="00F94859" w:rsidRPr="00F94859" w:rsidRDefault="0023298B">
      <w:pPr>
        <w:rPr>
          <w:b/>
          <w:bCs/>
        </w:rPr>
      </w:pPr>
      <w:r w:rsidRPr="00F94859">
        <w:rPr>
          <w:b/>
          <w:bCs/>
        </w:rPr>
        <w:t>BTTR2251BA – Speciálkollégium</w:t>
      </w:r>
      <w:r w:rsidRPr="00F94859">
        <w:rPr>
          <w:b/>
          <w:bCs/>
        </w:rPr>
        <w:tab/>
      </w:r>
      <w:r w:rsidRPr="00F94859">
        <w:rPr>
          <w:b/>
          <w:bCs/>
        </w:rPr>
        <w:tab/>
      </w:r>
      <w:r w:rsidRPr="00F94859">
        <w:rPr>
          <w:b/>
          <w:bCs/>
        </w:rPr>
        <w:tab/>
      </w:r>
      <w:r w:rsidRPr="00F94859">
        <w:rPr>
          <w:b/>
          <w:bCs/>
        </w:rPr>
        <w:tab/>
      </w:r>
      <w:r w:rsidRPr="00F94859">
        <w:rPr>
          <w:b/>
          <w:bCs/>
        </w:rPr>
        <w:tab/>
      </w:r>
    </w:p>
    <w:p w14:paraId="13081885" w14:textId="64A7BDF6" w:rsidR="00071CF5" w:rsidRDefault="0023298B">
      <w:r>
        <w:t>Sz:</w:t>
      </w:r>
      <w:r w:rsidR="00FC26B2">
        <w:t xml:space="preserve"> </w:t>
      </w:r>
      <w:r>
        <w:t>18:00-19:30 407/E</w:t>
      </w:r>
    </w:p>
    <w:p w14:paraId="5FEE9D6A" w14:textId="77777777" w:rsidR="003755F0" w:rsidRDefault="003755F0"/>
    <w:p w14:paraId="2771018B" w14:textId="77777777" w:rsidR="003755F0" w:rsidRPr="003755F0" w:rsidRDefault="003755F0" w:rsidP="003755F0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Tematika:</w:t>
      </w:r>
    </w:p>
    <w:p w14:paraId="35550771" w14:textId="77777777" w:rsidR="003755F0" w:rsidRPr="003755F0" w:rsidRDefault="003755F0" w:rsidP="003755F0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3755F0">
        <w:rPr>
          <w:rFonts w:eastAsia="Times New Roman"/>
          <w:kern w:val="0"/>
          <w:lang w:eastAsia="hu-HU"/>
          <w14:ligatures w14:val="none"/>
        </w:rPr>
        <w:br/>
      </w:r>
    </w:p>
    <w:p w14:paraId="559DEF83" w14:textId="048DDD18" w:rsidR="003755F0" w:rsidRPr="003755F0" w:rsidRDefault="003755F0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1. 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Tematika és követelmények ismertetése</w:t>
      </w:r>
    </w:p>
    <w:p w14:paraId="6F235B27" w14:textId="77777777" w:rsidR="003755F0" w:rsidRDefault="003755F0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724AC676" w14:textId="082F8EE3" w:rsidR="00F94859" w:rsidRDefault="00F94859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2.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  <w:t>Támpontok a beadandó megírásához</w:t>
      </w:r>
    </w:p>
    <w:p w14:paraId="7DDAA537" w14:textId="77777777" w:rsidR="00F94859" w:rsidRPr="003755F0" w:rsidRDefault="00F94859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62782A2F" w14:textId="05253F8B" w:rsidR="003755F0" w:rsidRPr="003755F0" w:rsidRDefault="00F94859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3</w:t>
      </w:r>
      <w:r w:rsid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.</w:t>
      </w:r>
      <w:r w:rsid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Forrástani ismeretek megalapozása</w:t>
      </w:r>
    </w:p>
    <w:p w14:paraId="36F73560" w14:textId="77777777" w:rsidR="003755F0" w:rsidRPr="003755F0" w:rsidRDefault="003755F0" w:rsidP="003755F0">
      <w:pPr>
        <w:pStyle w:val="Listaszerbekezds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0719047E" w14:textId="732AF163" w:rsidR="003755F0" w:rsidRPr="003755F0" w:rsidRDefault="00F94859" w:rsidP="003755F0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4</w:t>
      </w:r>
      <w:r w:rsid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. </w:t>
      </w:r>
      <w:r w:rsid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I. Historiográfia – </w:t>
      </w:r>
      <w:proofErr w:type="spellStart"/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Hérodotos</w:t>
      </w:r>
      <w:proofErr w:type="spellEnd"/>
    </w:p>
    <w:p w14:paraId="6130D70F" w14:textId="77777777" w:rsidR="003755F0" w:rsidRPr="003755F0" w:rsidRDefault="003755F0" w:rsidP="003755F0">
      <w:pPr>
        <w:pStyle w:val="Listaszerbekezds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65CDFB9C" w14:textId="6706E7F9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5.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I. Historiográfia – </w:t>
      </w:r>
      <w:proofErr w:type="spellStart"/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Thukydidés</w:t>
      </w:r>
      <w:proofErr w:type="spellEnd"/>
    </w:p>
    <w:p w14:paraId="2A3A8576" w14:textId="3274CD90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221EC806" w14:textId="14B358DB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6.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I. Historiográfia – </w:t>
      </w:r>
      <w:proofErr w:type="spellStart"/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Lukianos</w:t>
      </w:r>
      <w:proofErr w:type="spellEnd"/>
    </w:p>
    <w:p w14:paraId="11EC64F3" w14:textId="5024E512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34E97ECB" w14:textId="3E61C05E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7.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II. Nép és társadalom – Írott források</w:t>
      </w:r>
    </w:p>
    <w:p w14:paraId="7CB1F447" w14:textId="7DF4386A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51F55362" w14:textId="63E69674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8.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II. Nép és társadalom – Régészet</w:t>
      </w:r>
    </w:p>
    <w:p w14:paraId="4B8CBFBA" w14:textId="1D2539D0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71A41656" w14:textId="4132F813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9.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II. Nép és társadalom – Összehasonlító tudomány, nyelvészet</w:t>
      </w:r>
    </w:p>
    <w:p w14:paraId="3EF9E44B" w14:textId="3827AB6B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13B7DF40" w14:textId="013F019D" w:rsidR="003755F0" w:rsidRPr="003755F0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10</w:t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Gazdaságtörténet – Írott források</w:t>
      </w:r>
    </w:p>
    <w:p w14:paraId="0FFC511A" w14:textId="64E7ECF4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1F8C295C" w14:textId="2CA99828" w:rsidR="003755F0" w:rsidRPr="00F94859" w:rsidRDefault="00F94859" w:rsidP="00F94859">
      <w:p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11.</w:t>
      </w: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ab/>
      </w:r>
      <w:r w:rsidR="003755F0"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 xml:space="preserve"> Gazdaságtörténet – Régészeti források</w:t>
      </w:r>
    </w:p>
    <w:p w14:paraId="5F1B7527" w14:textId="5BDAAF0F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3B6A44FE" w14:textId="77777777" w:rsidR="003755F0" w:rsidRPr="003755F0" w:rsidRDefault="003755F0" w:rsidP="003755F0">
      <w:pPr>
        <w:numPr>
          <w:ilvl w:val="0"/>
          <w:numId w:val="11"/>
        </w:num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Zárthelyi dolgozat</w:t>
      </w:r>
    </w:p>
    <w:p w14:paraId="76E5865B" w14:textId="6F7AABFC" w:rsidR="003755F0" w:rsidRPr="003755F0" w:rsidRDefault="003755F0" w:rsidP="003755F0">
      <w:pPr>
        <w:jc w:val="left"/>
        <w:rPr>
          <w:rFonts w:eastAsia="Times New Roman"/>
          <w:kern w:val="0"/>
          <w:lang w:eastAsia="hu-HU"/>
          <w14:ligatures w14:val="none"/>
        </w:rPr>
      </w:pPr>
    </w:p>
    <w:p w14:paraId="5E605934" w14:textId="77777777" w:rsidR="003755F0" w:rsidRPr="003755F0" w:rsidRDefault="003755F0" w:rsidP="003755F0">
      <w:pPr>
        <w:numPr>
          <w:ilvl w:val="0"/>
          <w:numId w:val="12"/>
        </w:numPr>
        <w:jc w:val="left"/>
        <w:textAlignment w:val="baseline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A féléves munka értékelése</w:t>
      </w:r>
    </w:p>
    <w:p w14:paraId="314AFB61" w14:textId="77777777" w:rsidR="003755F0" w:rsidRPr="003755F0" w:rsidRDefault="003755F0" w:rsidP="003755F0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249A89C3" w14:textId="77777777" w:rsidR="003755F0" w:rsidRPr="003755F0" w:rsidRDefault="003755F0" w:rsidP="003755F0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3755F0"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Kurzus célja, követelménye:</w:t>
      </w:r>
    </w:p>
    <w:p w14:paraId="57A3C94B" w14:textId="4A7CD91E" w:rsidR="003755F0" w:rsidRPr="003755F0" w:rsidRDefault="003755F0" w:rsidP="003755F0">
      <w:pPr>
        <w:spacing w:line="240" w:lineRule="auto"/>
        <w:ind w:firstLine="708"/>
        <w:rPr>
          <w:rFonts w:eastAsia="Times New Roman"/>
          <w:kern w:val="0"/>
          <w:lang w:eastAsia="hu-HU"/>
          <w14:ligatures w14:val="none"/>
        </w:rPr>
      </w:pPr>
      <w:r w:rsidRPr="003755F0">
        <w:rPr>
          <w:rFonts w:eastAsia="Times New Roman"/>
          <w:color w:val="000000"/>
          <w:kern w:val="0"/>
          <w:lang w:eastAsia="hu-HU"/>
          <w14:ligatures w14:val="none"/>
        </w:rPr>
        <w:t xml:space="preserve">A szeminárium során a hallgatók betekintést nyernek az ókortörténet kutatási módszereibe, megismerkednek a forrástípusokkal, valamint részletesebben foglalkoznak a historiográfiával. A kurzus célja továbbá a kritikus szemléletmód kialakítása és az elemzési </w:t>
      </w:r>
      <w:r w:rsidRPr="003755F0">
        <w:rPr>
          <w:rFonts w:eastAsia="Times New Roman"/>
          <w:color w:val="000000"/>
          <w:kern w:val="0"/>
          <w:lang w:eastAsia="hu-HU"/>
          <w14:ligatures w14:val="none"/>
        </w:rPr>
        <w:lastRenderedPageBreak/>
        <w:t>készségek fejlesztése. A félév során a hallgatók vállalják egy ókor</w:t>
      </w:r>
      <w:r w:rsidR="00F94859">
        <w:rPr>
          <w:rFonts w:eastAsia="Times New Roman"/>
          <w:color w:val="000000"/>
          <w:kern w:val="0"/>
          <w:lang w:eastAsia="hu-HU"/>
          <w14:ligatures w14:val="none"/>
        </w:rPr>
        <w:t>i témával foglalkozó</w:t>
      </w:r>
      <w:r w:rsidRPr="003755F0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r w:rsidR="00EB41AC">
        <w:rPr>
          <w:rFonts w:eastAsia="Times New Roman"/>
          <w:color w:val="000000"/>
          <w:kern w:val="0"/>
          <w:lang w:eastAsia="hu-HU"/>
          <w14:ligatures w14:val="none"/>
        </w:rPr>
        <w:t xml:space="preserve">ismeretterjesztő </w:t>
      </w:r>
      <w:r w:rsidR="00F94859">
        <w:rPr>
          <w:rFonts w:eastAsia="Times New Roman"/>
          <w:color w:val="000000"/>
          <w:kern w:val="0"/>
          <w:lang w:eastAsia="hu-HU"/>
          <w14:ligatures w14:val="none"/>
        </w:rPr>
        <w:t>cikk</w:t>
      </w:r>
      <w:r w:rsidR="00EB41AC">
        <w:rPr>
          <w:rFonts w:eastAsia="Times New Roman"/>
          <w:color w:val="000000"/>
          <w:kern w:val="0"/>
          <w:lang w:eastAsia="hu-HU"/>
          <w14:ligatures w14:val="none"/>
        </w:rPr>
        <w:t xml:space="preserve"> meg</w:t>
      </w:r>
      <w:r w:rsidR="00F94859">
        <w:rPr>
          <w:rFonts w:eastAsia="Times New Roman"/>
          <w:color w:val="000000"/>
          <w:kern w:val="0"/>
          <w:lang w:eastAsia="hu-HU"/>
          <w14:ligatures w14:val="none"/>
        </w:rPr>
        <w:t>írását</w:t>
      </w:r>
      <w:r w:rsidR="00EB41AC">
        <w:rPr>
          <w:rFonts w:eastAsia="Times New Roman"/>
          <w:color w:val="000000"/>
          <w:kern w:val="0"/>
          <w:lang w:eastAsia="hu-HU"/>
          <w14:ligatures w14:val="none"/>
        </w:rPr>
        <w:t xml:space="preserve"> (25 pont)</w:t>
      </w:r>
      <w:r w:rsidRPr="003755F0">
        <w:rPr>
          <w:rFonts w:eastAsia="Times New Roman"/>
          <w:color w:val="000000"/>
          <w:kern w:val="0"/>
          <w:lang w:eastAsia="hu-HU"/>
          <w14:ligatures w14:val="none"/>
        </w:rPr>
        <w:t>. Emellett a félév során egy zárthelyi dolgozatra</w:t>
      </w:r>
      <w:r w:rsidR="00EB41AC">
        <w:rPr>
          <w:rFonts w:eastAsia="Times New Roman"/>
          <w:color w:val="000000"/>
          <w:kern w:val="0"/>
          <w:lang w:eastAsia="hu-HU"/>
          <w14:ligatures w14:val="none"/>
        </w:rPr>
        <w:t xml:space="preserve"> (25 pont)</w:t>
      </w:r>
      <w:r w:rsidRPr="003755F0">
        <w:rPr>
          <w:rFonts w:eastAsia="Times New Roman"/>
          <w:color w:val="000000"/>
          <w:kern w:val="0"/>
          <w:lang w:eastAsia="hu-HU"/>
          <w14:ligatures w14:val="none"/>
        </w:rPr>
        <w:t xml:space="preserve"> is sor kerül. Érdemjegy az órai munka, az írásbeli beadandó és a zárthelyi dolgozat alapján.</w:t>
      </w:r>
      <w:r w:rsidR="00F94859">
        <w:rPr>
          <w:rFonts w:eastAsia="Times New Roman"/>
          <w:color w:val="000000"/>
          <w:kern w:val="0"/>
          <w:lang w:eastAsia="hu-HU"/>
          <w14:ligatures w14:val="none"/>
        </w:rPr>
        <w:t xml:space="preserve"> A zárthelyi dolgozat egy legfeljebb 10 perces referátummal kiváltható, mely során a hallgató az általa megírt ismeretterjesztő cikk témáját mutatja be. A referátumok bemutatására a félév utolsó két órán kerülhet sor.</w:t>
      </w:r>
    </w:p>
    <w:p w14:paraId="58475268" w14:textId="77777777" w:rsidR="003755F0" w:rsidRDefault="003755F0"/>
    <w:sectPr w:rsidR="0037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00B"/>
    <w:multiLevelType w:val="multilevel"/>
    <w:tmpl w:val="B0D8B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4FB1"/>
    <w:multiLevelType w:val="multilevel"/>
    <w:tmpl w:val="013CD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C5735"/>
    <w:multiLevelType w:val="multilevel"/>
    <w:tmpl w:val="931AF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20767"/>
    <w:multiLevelType w:val="hybridMultilevel"/>
    <w:tmpl w:val="F0768D0C"/>
    <w:lvl w:ilvl="0" w:tplc="81B47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3C14"/>
    <w:multiLevelType w:val="multilevel"/>
    <w:tmpl w:val="2C5AFB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23063"/>
    <w:multiLevelType w:val="multilevel"/>
    <w:tmpl w:val="EFB6D3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F67B7"/>
    <w:multiLevelType w:val="multilevel"/>
    <w:tmpl w:val="325C5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D03A0"/>
    <w:multiLevelType w:val="multilevel"/>
    <w:tmpl w:val="9D8208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54313"/>
    <w:multiLevelType w:val="multilevel"/>
    <w:tmpl w:val="F942F8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B26F0"/>
    <w:multiLevelType w:val="multilevel"/>
    <w:tmpl w:val="EEB65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005CA"/>
    <w:multiLevelType w:val="multilevel"/>
    <w:tmpl w:val="78A277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14698"/>
    <w:multiLevelType w:val="multilevel"/>
    <w:tmpl w:val="DD709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F6A01"/>
    <w:multiLevelType w:val="multilevel"/>
    <w:tmpl w:val="EE1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60041"/>
    <w:multiLevelType w:val="hybridMultilevel"/>
    <w:tmpl w:val="2382A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4680">
    <w:abstractNumId w:val="12"/>
  </w:num>
  <w:num w:numId="2" w16cid:durableId="1998530109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42792535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922639050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958415026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769346331">
    <w:abstractNumId w:val="2"/>
    <w:lvlOverride w:ilvl="0">
      <w:lvl w:ilvl="0">
        <w:numFmt w:val="decimal"/>
        <w:lvlText w:val="%1."/>
        <w:lvlJc w:val="left"/>
      </w:lvl>
    </w:lvlOverride>
  </w:num>
  <w:num w:numId="7" w16cid:durableId="212087152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386924632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216549216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2094818964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291520121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789710047">
    <w:abstractNumId w:val="11"/>
    <w:lvlOverride w:ilvl="0">
      <w:lvl w:ilvl="0">
        <w:numFmt w:val="decimal"/>
        <w:lvlText w:val="%1."/>
        <w:lvlJc w:val="left"/>
      </w:lvl>
    </w:lvlOverride>
  </w:num>
  <w:num w:numId="13" w16cid:durableId="320423745">
    <w:abstractNumId w:val="3"/>
  </w:num>
  <w:num w:numId="14" w16cid:durableId="7371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68"/>
    <w:rsid w:val="00071CF5"/>
    <w:rsid w:val="00213CEA"/>
    <w:rsid w:val="0023298B"/>
    <w:rsid w:val="003755F0"/>
    <w:rsid w:val="00792178"/>
    <w:rsid w:val="0083462B"/>
    <w:rsid w:val="00850F3A"/>
    <w:rsid w:val="00A02368"/>
    <w:rsid w:val="00C623A5"/>
    <w:rsid w:val="00EB41AC"/>
    <w:rsid w:val="00F32FB6"/>
    <w:rsid w:val="00F94859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D07"/>
  <w15:chartTrackingRefBased/>
  <w15:docId w15:val="{0EBEA380-C82A-4D7C-A0AD-0C54431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2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2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236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236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236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236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236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236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236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2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02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2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2368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2368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2368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2368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2368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2368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02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02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0236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02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023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02368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0236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0236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2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2368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A02368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3755F0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5</cp:revision>
  <dcterms:created xsi:type="dcterms:W3CDTF">2024-02-09T15:57:00Z</dcterms:created>
  <dcterms:modified xsi:type="dcterms:W3CDTF">2024-02-12T09:02:00Z</dcterms:modified>
</cp:coreProperties>
</file>