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BTLA839OMA - Antik vallástörténet</w:t>
        <w:tab/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Cs: 12:00-13:30 407/A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Témák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tabs>
          <w:tab w:val="left" w:leader="none" w:pos="2625"/>
        </w:tabs>
        <w:ind w:left="720" w:hanging="360"/>
        <w:jc w:val="left"/>
      </w:pPr>
      <w:r w:rsidDel="00000000" w:rsidR="00000000" w:rsidRPr="00000000">
        <w:rPr>
          <w:rtl w:val="0"/>
        </w:rPr>
        <w:t xml:space="preserve">Követelmények és tematika ismertetése</w:t>
      </w:r>
    </w:p>
    <w:p w:rsidR="00000000" w:rsidDel="00000000" w:rsidP="00000000" w:rsidRDefault="00000000" w:rsidRPr="00000000" w14:paraId="00000008">
      <w:pPr>
        <w:tabs>
          <w:tab w:val="left" w:leader="none" w:pos="2625"/>
        </w:tabs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leader="none" w:pos="2625"/>
        </w:tabs>
        <w:ind w:left="720" w:hanging="360"/>
        <w:jc w:val="left"/>
      </w:pPr>
      <w:r w:rsidDel="00000000" w:rsidR="00000000" w:rsidRPr="00000000">
        <w:rPr>
          <w:rtl w:val="0"/>
        </w:rPr>
        <w:t xml:space="preserve">Forrástani ismeretek megalapozása</w:t>
      </w:r>
    </w:p>
    <w:p w:rsidR="00000000" w:rsidDel="00000000" w:rsidP="00000000" w:rsidRDefault="00000000" w:rsidRPr="00000000" w14:paraId="0000000A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leader="none" w:pos="2625"/>
        </w:tabs>
        <w:ind w:left="720" w:hanging="360"/>
        <w:jc w:val="left"/>
      </w:pPr>
      <w:r w:rsidDel="00000000" w:rsidR="00000000" w:rsidRPr="00000000">
        <w:rPr>
          <w:rtl w:val="0"/>
        </w:rPr>
        <w:t xml:space="preserve"> Görög vallás. Bronzkori előzmények: a minósziak és a mükénéi görögség vallása</w:t>
      </w:r>
    </w:p>
    <w:p w:rsidR="00000000" w:rsidDel="00000000" w:rsidP="00000000" w:rsidRDefault="00000000" w:rsidRPr="00000000" w14:paraId="0000000C">
      <w:pPr>
        <w:ind w:left="72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leader="none" w:pos="2625"/>
        </w:tabs>
        <w:ind w:left="720" w:hanging="360"/>
        <w:jc w:val="left"/>
      </w:pPr>
      <w:r w:rsidDel="00000000" w:rsidR="00000000" w:rsidRPr="00000000">
        <w:rPr>
          <w:rtl w:val="0"/>
        </w:rPr>
        <w:t xml:space="preserve">Görög vallás. Az olymposi korszak: források, mitológia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Görög vallás: Az olymposi korszak: istenek, kultuszok</w:t>
      </w:r>
    </w:p>
    <w:p w:rsidR="00000000" w:rsidDel="00000000" w:rsidP="00000000" w:rsidRDefault="00000000" w:rsidRPr="00000000" w14:paraId="00000010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Görög vallás: Ünnepek, babonák, halál, temetkezés, túlvilág</w:t>
      </w:r>
    </w:p>
    <w:p w:rsidR="00000000" w:rsidDel="00000000" w:rsidP="00000000" w:rsidRDefault="00000000" w:rsidRPr="00000000" w14:paraId="00000012">
      <w:pPr>
        <w:ind w:left="708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Fejlődési tendenciák a görög vallásban a hellenisztikus korban I.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Fejlődési tendenciák a görög vallásban a hellenisztikus korban II.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Az etruszkok vallása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Római vallás az archaikus korban: források, római mítoszok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Római vallás: Antropomorf istenek és kultuszuk, papi testületek</w:t>
      </w:r>
    </w:p>
    <w:p w:rsidR="00000000" w:rsidDel="00000000" w:rsidP="00000000" w:rsidRDefault="00000000" w:rsidRPr="00000000" w14:paraId="0000001C">
      <w:pPr>
        <w:spacing w:after="160" w:line="259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Római vallás: Mágia, babonák, temetkezési szokások, túlvilághit</w:t>
      </w:r>
    </w:p>
    <w:p w:rsidR="00000000" w:rsidDel="00000000" w:rsidP="00000000" w:rsidRDefault="00000000" w:rsidRPr="00000000" w14:paraId="0000001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Vallási üldözések a Római Birodalomban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Követelmények: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Szóbeli beszámoló a tárgyalt témákból és a kiadott szakirodalomból.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Irodalom:</w:t>
      </w:r>
    </w:p>
    <w:p w:rsidR="00000000" w:rsidDel="00000000" w:rsidP="00000000" w:rsidRDefault="00000000" w:rsidRPr="00000000" w14:paraId="00000024">
      <w:pPr>
        <w:ind w:left="709" w:firstLine="0"/>
        <w:rPr/>
      </w:pPr>
      <w:r w:rsidDel="00000000" w:rsidR="00000000" w:rsidRPr="00000000">
        <w:rPr>
          <w:rtl w:val="0"/>
        </w:rPr>
        <w:t xml:space="preserve">Bugh, G. R. (Ed): </w:t>
      </w:r>
      <w:r w:rsidDel="00000000" w:rsidR="00000000" w:rsidRPr="00000000">
        <w:rPr>
          <w:i w:val="1"/>
          <w:rtl w:val="0"/>
        </w:rPr>
        <w:t xml:space="preserve">The Cambridge Companion to the Hellenistic World</w:t>
      </w:r>
      <w:r w:rsidDel="00000000" w:rsidR="00000000" w:rsidRPr="00000000">
        <w:rPr>
          <w:rtl w:val="0"/>
        </w:rPr>
        <w:t xml:space="preserve">. New York, Cambridge University Press, 2006.</w:t>
      </w:r>
    </w:p>
    <w:p w:rsidR="00000000" w:rsidDel="00000000" w:rsidP="00000000" w:rsidRDefault="00000000" w:rsidRPr="00000000" w14:paraId="00000025">
      <w:pPr>
        <w:ind w:left="709" w:firstLine="0"/>
        <w:rPr/>
      </w:pPr>
      <w:r w:rsidDel="00000000" w:rsidR="00000000" w:rsidRPr="00000000">
        <w:rPr>
          <w:rtl w:val="0"/>
        </w:rPr>
        <w:t xml:space="preserve">Dumézil, G.: </w:t>
      </w:r>
      <w:r w:rsidDel="00000000" w:rsidR="00000000" w:rsidRPr="00000000">
        <w:rPr>
          <w:i w:val="1"/>
          <w:rtl w:val="0"/>
        </w:rPr>
        <w:t xml:space="preserve">Archaic Roman religion with an appendix on the religion of the Etruscans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1-2 combined</w:t>
      </w:r>
      <w:r w:rsidDel="00000000" w:rsidR="00000000" w:rsidRPr="00000000">
        <w:rPr>
          <w:rtl w:val="0"/>
        </w:rPr>
        <w:t xml:space="preserve">. Johns Hopkins University Press, 1996.</w:t>
      </w:r>
    </w:p>
    <w:p w:rsidR="00000000" w:rsidDel="00000000" w:rsidP="00000000" w:rsidRDefault="00000000" w:rsidRPr="00000000" w14:paraId="00000026">
      <w:pPr>
        <w:ind w:left="709" w:firstLine="0"/>
        <w:rPr/>
      </w:pPr>
      <w:r w:rsidDel="00000000" w:rsidR="00000000" w:rsidRPr="00000000">
        <w:rPr>
          <w:rtl w:val="0"/>
        </w:rPr>
        <w:t xml:space="preserve">Eliade, M.: </w:t>
      </w:r>
      <w:r w:rsidDel="00000000" w:rsidR="00000000" w:rsidRPr="00000000">
        <w:rPr>
          <w:i w:val="1"/>
          <w:rtl w:val="0"/>
        </w:rPr>
        <w:t xml:space="preserve">Vallási hiedelmek és eszmék története I</w:t>
      </w:r>
      <w:r w:rsidDel="00000000" w:rsidR="00000000" w:rsidRPr="00000000">
        <w:rPr>
          <w:rtl w:val="0"/>
        </w:rPr>
        <w:t xml:space="preserve">. Budapest, Osiris, 1995.</w:t>
      </w:r>
    </w:p>
    <w:p w:rsidR="00000000" w:rsidDel="00000000" w:rsidP="00000000" w:rsidRDefault="00000000" w:rsidRPr="00000000" w14:paraId="00000027">
      <w:pPr>
        <w:ind w:left="709" w:firstLine="0"/>
        <w:rPr/>
      </w:pPr>
      <w:r w:rsidDel="00000000" w:rsidR="00000000" w:rsidRPr="00000000">
        <w:rPr>
          <w:rtl w:val="0"/>
        </w:rPr>
        <w:t xml:space="preserve">Gesztelyi T. – Sarkady J.: </w:t>
      </w:r>
      <w:r w:rsidDel="00000000" w:rsidR="00000000" w:rsidRPr="00000000">
        <w:rPr>
          <w:i w:val="1"/>
          <w:rtl w:val="0"/>
        </w:rPr>
        <w:t xml:space="preserve">Görög-római vallástörténeti szöveggyűjtemény</w:t>
      </w:r>
      <w:r w:rsidDel="00000000" w:rsidR="00000000" w:rsidRPr="00000000">
        <w:rPr>
          <w:rtl w:val="0"/>
        </w:rPr>
        <w:t xml:space="preserve">. Debrecen, 1974.</w:t>
      </w:r>
    </w:p>
    <w:p w:rsidR="00000000" w:rsidDel="00000000" w:rsidP="00000000" w:rsidRDefault="00000000" w:rsidRPr="00000000" w14:paraId="00000028">
      <w:pPr>
        <w:ind w:left="709" w:firstLine="0"/>
        <w:rPr/>
      </w:pPr>
      <w:r w:rsidDel="00000000" w:rsidR="00000000" w:rsidRPr="00000000">
        <w:rPr>
          <w:rtl w:val="0"/>
        </w:rPr>
        <w:t xml:space="preserve">Gesztelyi T.: </w:t>
      </w:r>
      <w:r w:rsidDel="00000000" w:rsidR="00000000" w:rsidRPr="00000000">
        <w:rPr>
          <w:i w:val="1"/>
          <w:rtl w:val="0"/>
        </w:rPr>
        <w:t xml:space="preserve">A római vallás története</w:t>
      </w:r>
      <w:r w:rsidDel="00000000" w:rsidR="00000000" w:rsidRPr="00000000">
        <w:rPr>
          <w:rtl w:val="0"/>
        </w:rPr>
        <w:t xml:space="preserve">. Budapest, Nemzeti Tankönyvkiadó, 1993.</w:t>
      </w:r>
    </w:p>
    <w:p w:rsidR="00000000" w:rsidDel="00000000" w:rsidP="00000000" w:rsidRDefault="00000000" w:rsidRPr="00000000" w14:paraId="00000029">
      <w:pPr>
        <w:ind w:left="720" w:firstLine="0"/>
        <w:rPr/>
      </w:pPr>
      <w:r w:rsidDel="00000000" w:rsidR="00000000" w:rsidRPr="00000000">
        <w:rPr>
          <w:rtl w:val="0"/>
        </w:rPr>
        <w:t xml:space="preserve">Hegyi D.: </w:t>
      </w:r>
      <w:r w:rsidDel="00000000" w:rsidR="00000000" w:rsidRPr="00000000">
        <w:rPr>
          <w:i w:val="1"/>
          <w:rtl w:val="0"/>
        </w:rPr>
        <w:t xml:space="preserve">Polis és vallás. Bevezetés a görög vallástörténetbe</w:t>
      </w:r>
      <w:r w:rsidDel="00000000" w:rsidR="00000000" w:rsidRPr="00000000">
        <w:rPr>
          <w:rtl w:val="0"/>
        </w:rPr>
        <w:t xml:space="preserve">. Budapest, 2002. 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  <w:t xml:space="preserve">Hegyi W. Gy.: Ősök, maszkok, utódok A pompa funebris Rómában. </w:t>
      </w:r>
      <w:r w:rsidDel="00000000" w:rsidR="00000000" w:rsidRPr="00000000">
        <w:rPr>
          <w:i w:val="1"/>
          <w:rtl w:val="0"/>
        </w:rPr>
        <w:t xml:space="preserve">Ókor</w:t>
      </w:r>
      <w:r w:rsidDel="00000000" w:rsidR="00000000" w:rsidRPr="00000000">
        <w:rPr>
          <w:rtl w:val="0"/>
        </w:rPr>
        <w:t xml:space="preserve"> 2009. 3-4. szám.</w:t>
      </w:r>
    </w:p>
    <w:p w:rsidR="00000000" w:rsidDel="00000000" w:rsidP="00000000" w:rsidRDefault="00000000" w:rsidRPr="00000000" w14:paraId="0000002B">
      <w:pPr>
        <w:ind w:left="720" w:firstLine="0"/>
        <w:rPr/>
      </w:pPr>
      <w:r w:rsidDel="00000000" w:rsidR="00000000" w:rsidRPr="00000000">
        <w:rPr>
          <w:rtl w:val="0"/>
        </w:rPr>
        <w:t xml:space="preserve">Hood, S.: </w:t>
      </w:r>
      <w:r w:rsidDel="00000000" w:rsidR="00000000" w:rsidRPr="00000000">
        <w:rPr>
          <w:i w:val="1"/>
          <w:rtl w:val="0"/>
        </w:rPr>
        <w:t xml:space="preserve">A minószi Kréta</w:t>
      </w:r>
      <w:r w:rsidDel="00000000" w:rsidR="00000000" w:rsidRPr="00000000">
        <w:rPr>
          <w:rtl w:val="0"/>
        </w:rPr>
        <w:t xml:space="preserve">. Budapest, 1983</w:t>
      </w:r>
    </w:p>
    <w:p w:rsidR="00000000" w:rsidDel="00000000" w:rsidP="00000000" w:rsidRDefault="00000000" w:rsidRPr="00000000" w14:paraId="0000002C">
      <w:pPr>
        <w:ind w:left="709" w:firstLine="0"/>
        <w:rPr/>
      </w:pPr>
      <w:r w:rsidDel="00000000" w:rsidR="00000000" w:rsidRPr="00000000">
        <w:rPr>
          <w:rtl w:val="0"/>
        </w:rPr>
        <w:t xml:space="preserve">Kerényi K.: </w:t>
      </w:r>
      <w:r w:rsidDel="00000000" w:rsidR="00000000" w:rsidRPr="00000000">
        <w:rPr>
          <w:i w:val="1"/>
          <w:rtl w:val="0"/>
        </w:rPr>
        <w:t xml:space="preserve">Görög mitológia</w:t>
      </w:r>
      <w:r w:rsidDel="00000000" w:rsidR="00000000" w:rsidRPr="00000000">
        <w:rPr>
          <w:rtl w:val="0"/>
        </w:rPr>
        <w:t xml:space="preserve">. Gondolat Kiadó, 1977.</w:t>
      </w:r>
    </w:p>
    <w:p w:rsidR="00000000" w:rsidDel="00000000" w:rsidP="00000000" w:rsidRDefault="00000000" w:rsidRPr="00000000" w14:paraId="0000002D">
      <w:pPr>
        <w:ind w:left="709" w:firstLine="0"/>
        <w:rPr/>
      </w:pPr>
      <w:r w:rsidDel="00000000" w:rsidR="00000000" w:rsidRPr="00000000">
        <w:rPr>
          <w:rtl w:val="0"/>
        </w:rPr>
        <w:t xml:space="preserve">Köves-Zulauf T.: </w:t>
      </w:r>
      <w:r w:rsidDel="00000000" w:rsidR="00000000" w:rsidRPr="00000000">
        <w:rPr>
          <w:i w:val="1"/>
          <w:rtl w:val="0"/>
        </w:rPr>
        <w:t xml:space="preserve">Bevezetés a római vallás és monda történetébe</w:t>
      </w:r>
      <w:r w:rsidDel="00000000" w:rsidR="00000000" w:rsidRPr="00000000">
        <w:rPr>
          <w:rtl w:val="0"/>
        </w:rPr>
        <w:t xml:space="preserve">. Budapest, 1995.</w:t>
      </w:r>
    </w:p>
    <w:p w:rsidR="00000000" w:rsidDel="00000000" w:rsidP="00000000" w:rsidRDefault="00000000" w:rsidRPr="00000000" w14:paraId="0000002E">
      <w:pPr>
        <w:ind w:left="709" w:firstLine="0"/>
        <w:rPr/>
      </w:pPr>
      <w:r w:rsidDel="00000000" w:rsidR="00000000" w:rsidRPr="00000000">
        <w:rPr>
          <w:rtl w:val="0"/>
        </w:rPr>
        <w:t xml:space="preserve">Mikalson, J. D.: </w:t>
      </w:r>
      <w:r w:rsidDel="00000000" w:rsidR="00000000" w:rsidRPr="00000000">
        <w:rPr>
          <w:i w:val="1"/>
          <w:rtl w:val="0"/>
        </w:rPr>
        <w:t xml:space="preserve">Greek religion: Continuity and Change in the Hellenistic Period</w:t>
      </w:r>
      <w:r w:rsidDel="00000000" w:rsidR="00000000" w:rsidRPr="00000000">
        <w:rPr>
          <w:rtl w:val="0"/>
        </w:rPr>
        <w:t xml:space="preserve">. In:</w:t>
      </w:r>
    </w:p>
    <w:p w:rsidR="00000000" w:rsidDel="00000000" w:rsidP="00000000" w:rsidRDefault="00000000" w:rsidRPr="00000000" w14:paraId="0000002F">
      <w:pPr>
        <w:ind w:left="709" w:firstLine="0"/>
        <w:rPr/>
      </w:pPr>
      <w:r w:rsidDel="00000000" w:rsidR="00000000" w:rsidRPr="00000000">
        <w:rPr>
          <w:rtl w:val="0"/>
        </w:rPr>
        <w:t xml:space="preserve">Ogden, Denis (Ed.): </w:t>
      </w:r>
      <w:r w:rsidDel="00000000" w:rsidR="00000000" w:rsidRPr="00000000">
        <w:rPr>
          <w:i w:val="1"/>
          <w:rtl w:val="0"/>
        </w:rPr>
        <w:t xml:space="preserve">A Companion to Greek Religion</w:t>
      </w:r>
      <w:r w:rsidDel="00000000" w:rsidR="00000000" w:rsidRPr="00000000">
        <w:rPr>
          <w:rtl w:val="0"/>
        </w:rPr>
        <w:t xml:space="preserve">. Malden – Oxford, Blackwell, 2007.</w:t>
      </w:r>
    </w:p>
    <w:p w:rsidR="00000000" w:rsidDel="00000000" w:rsidP="00000000" w:rsidRDefault="00000000" w:rsidRPr="00000000" w14:paraId="00000030">
      <w:pPr>
        <w:ind w:left="709" w:firstLine="0"/>
        <w:rPr/>
      </w:pPr>
      <w:r w:rsidDel="00000000" w:rsidR="00000000" w:rsidRPr="00000000">
        <w:rPr>
          <w:rtl w:val="0"/>
        </w:rPr>
        <w:t xml:space="preserve">Pósán László – Veszprémy László – Isaszegi János: </w:t>
      </w:r>
      <w:r w:rsidDel="00000000" w:rsidR="00000000" w:rsidRPr="00000000">
        <w:rPr>
          <w:i w:val="1"/>
          <w:rtl w:val="0"/>
        </w:rPr>
        <w:t xml:space="preserve">Vallásháborúk és felekezeti konfliktusok - Az ókortól napjainkig Európában és a közeli térségekben</w:t>
      </w:r>
      <w:r w:rsidDel="00000000" w:rsidR="00000000" w:rsidRPr="00000000">
        <w:rPr>
          <w:rtl w:val="0"/>
        </w:rPr>
        <w:t xml:space="preserve">. Budapest, 2021. - Vonatkozó fejezetek</w:t>
      </w:r>
    </w:p>
    <w:p w:rsidR="00000000" w:rsidDel="00000000" w:rsidP="00000000" w:rsidRDefault="00000000" w:rsidRPr="00000000" w14:paraId="00000031">
      <w:pPr>
        <w:ind w:left="709" w:firstLine="0"/>
        <w:rPr/>
      </w:pPr>
      <w:r w:rsidDel="00000000" w:rsidR="00000000" w:rsidRPr="00000000">
        <w:rPr>
          <w:rtl w:val="0"/>
        </w:rPr>
        <w:t xml:space="preserve">Sarkady J. (Szerk, összeáll. bev.): </w:t>
      </w:r>
      <w:r w:rsidDel="00000000" w:rsidR="00000000" w:rsidRPr="00000000">
        <w:rPr>
          <w:i w:val="1"/>
          <w:rtl w:val="0"/>
        </w:rPr>
        <w:t xml:space="preserve">Görög vallás, görög istenek</w:t>
      </w:r>
      <w:r w:rsidDel="00000000" w:rsidR="00000000" w:rsidRPr="00000000">
        <w:rPr>
          <w:rtl w:val="0"/>
        </w:rPr>
        <w:t xml:space="preserve">. Budapest, 1974.</w:t>
      </w:r>
    </w:p>
    <w:p w:rsidR="00000000" w:rsidDel="00000000" w:rsidP="00000000" w:rsidRDefault="00000000" w:rsidRPr="00000000" w14:paraId="00000032">
      <w:pPr>
        <w:ind w:left="709" w:firstLine="0"/>
        <w:rPr/>
      </w:pPr>
      <w:r w:rsidDel="00000000" w:rsidR="00000000" w:rsidRPr="00000000">
        <w:rPr>
          <w:rtl w:val="0"/>
        </w:rPr>
        <w:t xml:space="preserve">Rüpke, Jörg (ed.): </w:t>
      </w:r>
      <w:r w:rsidDel="00000000" w:rsidR="00000000" w:rsidRPr="00000000">
        <w:rPr>
          <w:i w:val="1"/>
          <w:rtl w:val="0"/>
        </w:rPr>
        <w:t xml:space="preserve">A Companion to Roman religion</w:t>
      </w:r>
      <w:r w:rsidDel="00000000" w:rsidR="00000000" w:rsidRPr="00000000">
        <w:rPr>
          <w:rtl w:val="0"/>
        </w:rPr>
        <w:t xml:space="preserve">. Malden – Oxford, Blackwell, 2007.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Play">
    <w:embedRegular w:fontKey="{00000000-0000-0000-0000-000000000000}" r:id="rId1" w:subsetted="0"/>
    <w:embedBold w:fontKey="{00000000-0000-0000-0000-000000000000}" r:id="rId2" w:subsetted="0"/>
  </w:font>
  <w:font w:name="Apto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rFonts w:ascii="Aptos" w:cs="Aptos" w:eastAsia="Aptos" w:hAnsi="Aptos"/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rFonts w:ascii="Aptos" w:cs="Aptos" w:eastAsia="Aptos" w:hAnsi="Aptos"/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rFonts w:ascii="Aptos" w:cs="Aptos" w:eastAsia="Aptos" w:hAnsi="Aptos"/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l" w:default="1">
    <w:name w:val="Normal"/>
    <w:qFormat w:val="1"/>
    <w:rsid w:val="00F32FB6"/>
    <w:rPr>
      <w:rFonts w:ascii="Times New Roman" w:cs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 w:val="1"/>
    <w:rsid w:val="00973FEC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 w:val="1"/>
    <w:unhideWhenUsed w:val="1"/>
    <w:qFormat w:val="1"/>
    <w:rsid w:val="00973FEC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 w:val="1"/>
    <w:unhideWhenUsed w:val="1"/>
    <w:qFormat w:val="1"/>
    <w:rsid w:val="00973FEC"/>
    <w:pPr>
      <w:keepNext w:val="1"/>
      <w:keepLines w:val="1"/>
      <w:spacing w:after="80" w:before="160"/>
      <w:outlineLvl w:val="2"/>
    </w:pPr>
    <w:rPr>
      <w:rFonts w:asciiTheme="minorHAnsi" w:cstheme="majorBidi" w:eastAsiaTheme="majorEastAsia" w:hAnsiTheme="minorHAnsi"/>
      <w:color w:val="0f4761" w:themeColor="accent1" w:themeShade="0000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 w:val="1"/>
    <w:unhideWhenUsed w:val="1"/>
    <w:qFormat w:val="1"/>
    <w:rsid w:val="00973FEC"/>
    <w:pPr>
      <w:keepNext w:val="1"/>
      <w:keepLines w:val="1"/>
      <w:spacing w:after="40" w:before="80"/>
      <w:outlineLvl w:val="3"/>
    </w:pPr>
    <w:rPr>
      <w:rFonts w:asciiTheme="minorHAnsi" w:cstheme="majorBidi" w:eastAsiaTheme="majorEastAsia" w:hAnsiTheme="minorHAnsi"/>
      <w:i w:val="1"/>
      <w:iCs w:val="1"/>
      <w:color w:val="0f4761" w:themeColor="accent1" w:themeShade="0000BF"/>
    </w:rPr>
  </w:style>
  <w:style w:type="paragraph" w:styleId="Cmsor5">
    <w:name w:val="heading 5"/>
    <w:basedOn w:val="Norml"/>
    <w:next w:val="Norml"/>
    <w:link w:val="Cmsor5Char"/>
    <w:uiPriority w:val="9"/>
    <w:semiHidden w:val="1"/>
    <w:unhideWhenUsed w:val="1"/>
    <w:qFormat w:val="1"/>
    <w:rsid w:val="00973FEC"/>
    <w:pPr>
      <w:keepNext w:val="1"/>
      <w:keepLines w:val="1"/>
      <w:spacing w:after="40" w:before="80"/>
      <w:outlineLvl w:val="4"/>
    </w:pPr>
    <w:rPr>
      <w:rFonts w:asciiTheme="minorHAnsi" w:cstheme="majorBidi" w:eastAsiaTheme="majorEastAsia" w:hAnsiTheme="minorHAnsi"/>
      <w:color w:val="0f4761" w:themeColor="accent1" w:themeShade="0000BF"/>
    </w:rPr>
  </w:style>
  <w:style w:type="paragraph" w:styleId="Cmsor6">
    <w:name w:val="heading 6"/>
    <w:basedOn w:val="Norml"/>
    <w:next w:val="Norml"/>
    <w:link w:val="Cmsor6Char"/>
    <w:uiPriority w:val="9"/>
    <w:semiHidden w:val="1"/>
    <w:unhideWhenUsed w:val="1"/>
    <w:qFormat w:val="1"/>
    <w:rsid w:val="00973FEC"/>
    <w:pPr>
      <w:keepNext w:val="1"/>
      <w:keepLines w:val="1"/>
      <w:spacing w:before="40"/>
      <w:outlineLvl w:val="5"/>
    </w:pPr>
    <w:rPr>
      <w:rFonts w:asciiTheme="minorHAnsi" w:cstheme="majorBidi" w:eastAsiaTheme="majorEastAsia" w:hAnsiTheme="minorHAnsi"/>
      <w:i w:val="1"/>
      <w:iCs w:val="1"/>
      <w:color w:val="595959" w:themeColor="text1" w:themeTint="0000A6"/>
    </w:rPr>
  </w:style>
  <w:style w:type="paragraph" w:styleId="Cmsor7">
    <w:name w:val="heading 7"/>
    <w:basedOn w:val="Norml"/>
    <w:next w:val="Norml"/>
    <w:link w:val="Cmsor7Char"/>
    <w:uiPriority w:val="9"/>
    <w:semiHidden w:val="1"/>
    <w:unhideWhenUsed w:val="1"/>
    <w:qFormat w:val="1"/>
    <w:rsid w:val="00973FEC"/>
    <w:pPr>
      <w:keepNext w:val="1"/>
      <w:keepLines w:val="1"/>
      <w:spacing w:before="40"/>
      <w:outlineLvl w:val="6"/>
    </w:pPr>
    <w:rPr>
      <w:rFonts w:asciiTheme="minorHAnsi" w:cstheme="majorBidi" w:eastAsiaTheme="majorEastAsia" w:hAnsiTheme="minorHAnsi"/>
      <w:color w:val="595959" w:themeColor="text1" w:themeTint="0000A6"/>
    </w:rPr>
  </w:style>
  <w:style w:type="paragraph" w:styleId="Cmsor8">
    <w:name w:val="heading 8"/>
    <w:basedOn w:val="Norml"/>
    <w:next w:val="Norml"/>
    <w:link w:val="Cmsor8Char"/>
    <w:uiPriority w:val="9"/>
    <w:semiHidden w:val="1"/>
    <w:unhideWhenUsed w:val="1"/>
    <w:qFormat w:val="1"/>
    <w:rsid w:val="00973FEC"/>
    <w:pPr>
      <w:keepNext w:val="1"/>
      <w:keepLines w:val="1"/>
      <w:outlineLvl w:val="7"/>
    </w:pPr>
    <w:rPr>
      <w:rFonts w:asciiTheme="minorHAnsi" w:cstheme="majorBidi" w:eastAsiaTheme="majorEastAsia" w:hAnsiTheme="minorHAnsi"/>
      <w:i w:val="1"/>
      <w:iCs w:val="1"/>
      <w:color w:val="272727" w:themeColor="text1" w:themeTint="0000D8"/>
    </w:rPr>
  </w:style>
  <w:style w:type="paragraph" w:styleId="Cmsor9">
    <w:name w:val="heading 9"/>
    <w:basedOn w:val="Norml"/>
    <w:next w:val="Norml"/>
    <w:link w:val="Cmsor9Char"/>
    <w:uiPriority w:val="9"/>
    <w:semiHidden w:val="1"/>
    <w:unhideWhenUsed w:val="1"/>
    <w:qFormat w:val="1"/>
    <w:rsid w:val="00973FEC"/>
    <w:pPr>
      <w:keepNext w:val="1"/>
      <w:keepLines w:val="1"/>
      <w:outlineLvl w:val="8"/>
    </w:pPr>
    <w:rPr>
      <w:rFonts w:asciiTheme="minorHAnsi" w:cstheme="majorBidi" w:eastAsiaTheme="majorEastAsia" w:hAnsiTheme="minorHAnsi"/>
      <w:color w:val="272727" w:themeColor="text1" w:themeTint="0000D8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character" w:styleId="Cmsor1Char" w:customStyle="1">
    <w:name w:val="Címsor 1 Char"/>
    <w:basedOn w:val="Bekezdsalapbettpusa"/>
    <w:link w:val="Cmsor1"/>
    <w:uiPriority w:val="9"/>
    <w:rsid w:val="00973FEC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Cmsor2Char" w:customStyle="1">
    <w:name w:val="Címsor 2 Char"/>
    <w:basedOn w:val="Bekezdsalapbettpusa"/>
    <w:link w:val="Cmsor2"/>
    <w:uiPriority w:val="9"/>
    <w:semiHidden w:val="1"/>
    <w:rsid w:val="00973FEC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Cmsor3Char" w:customStyle="1">
    <w:name w:val="Címsor 3 Char"/>
    <w:basedOn w:val="Bekezdsalapbettpusa"/>
    <w:link w:val="Cmsor3"/>
    <w:uiPriority w:val="9"/>
    <w:semiHidden w:val="1"/>
    <w:rsid w:val="00973FEC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Cmsor4Char" w:customStyle="1">
    <w:name w:val="Címsor 4 Char"/>
    <w:basedOn w:val="Bekezdsalapbettpusa"/>
    <w:link w:val="Cmsor4"/>
    <w:uiPriority w:val="9"/>
    <w:semiHidden w:val="1"/>
    <w:rsid w:val="00973FEC"/>
    <w:rPr>
      <w:rFonts w:cstheme="majorBidi" w:eastAsiaTheme="majorEastAsia"/>
      <w:i w:val="1"/>
      <w:iCs w:val="1"/>
      <w:color w:val="0f4761" w:themeColor="accent1" w:themeShade="0000BF"/>
      <w:sz w:val="24"/>
      <w:szCs w:val="24"/>
    </w:rPr>
  </w:style>
  <w:style w:type="character" w:styleId="Cmsor5Char" w:customStyle="1">
    <w:name w:val="Címsor 5 Char"/>
    <w:basedOn w:val="Bekezdsalapbettpusa"/>
    <w:link w:val="Cmsor5"/>
    <w:uiPriority w:val="9"/>
    <w:semiHidden w:val="1"/>
    <w:rsid w:val="00973FEC"/>
    <w:rPr>
      <w:rFonts w:cstheme="majorBidi" w:eastAsiaTheme="majorEastAsia"/>
      <w:color w:val="0f4761" w:themeColor="accent1" w:themeShade="0000BF"/>
      <w:sz w:val="24"/>
      <w:szCs w:val="24"/>
    </w:rPr>
  </w:style>
  <w:style w:type="character" w:styleId="Cmsor6Char" w:customStyle="1">
    <w:name w:val="Címsor 6 Char"/>
    <w:basedOn w:val="Bekezdsalapbettpusa"/>
    <w:link w:val="Cmsor6"/>
    <w:uiPriority w:val="9"/>
    <w:semiHidden w:val="1"/>
    <w:rsid w:val="00973FEC"/>
    <w:rPr>
      <w:rFonts w:cstheme="majorBidi" w:eastAsiaTheme="majorEastAsia"/>
      <w:i w:val="1"/>
      <w:iCs w:val="1"/>
      <w:color w:val="595959" w:themeColor="text1" w:themeTint="0000A6"/>
      <w:sz w:val="24"/>
      <w:szCs w:val="24"/>
    </w:rPr>
  </w:style>
  <w:style w:type="character" w:styleId="Cmsor7Char" w:customStyle="1">
    <w:name w:val="Címsor 7 Char"/>
    <w:basedOn w:val="Bekezdsalapbettpusa"/>
    <w:link w:val="Cmsor7"/>
    <w:uiPriority w:val="9"/>
    <w:semiHidden w:val="1"/>
    <w:rsid w:val="00973FEC"/>
    <w:rPr>
      <w:rFonts w:cstheme="majorBidi" w:eastAsiaTheme="majorEastAsia"/>
      <w:color w:val="595959" w:themeColor="text1" w:themeTint="0000A6"/>
      <w:sz w:val="24"/>
      <w:szCs w:val="24"/>
    </w:rPr>
  </w:style>
  <w:style w:type="character" w:styleId="Cmsor8Char" w:customStyle="1">
    <w:name w:val="Címsor 8 Char"/>
    <w:basedOn w:val="Bekezdsalapbettpusa"/>
    <w:link w:val="Cmsor8"/>
    <w:uiPriority w:val="9"/>
    <w:semiHidden w:val="1"/>
    <w:rsid w:val="00973FEC"/>
    <w:rPr>
      <w:rFonts w:cstheme="majorBidi" w:eastAsiaTheme="majorEastAsia"/>
      <w:i w:val="1"/>
      <w:iCs w:val="1"/>
      <w:color w:val="272727" w:themeColor="text1" w:themeTint="0000D8"/>
      <w:sz w:val="24"/>
      <w:szCs w:val="24"/>
    </w:rPr>
  </w:style>
  <w:style w:type="character" w:styleId="Cmsor9Char" w:customStyle="1">
    <w:name w:val="Címsor 9 Char"/>
    <w:basedOn w:val="Bekezdsalapbettpusa"/>
    <w:link w:val="Cmsor9"/>
    <w:uiPriority w:val="9"/>
    <w:semiHidden w:val="1"/>
    <w:rsid w:val="00973FEC"/>
    <w:rPr>
      <w:rFonts w:cstheme="majorBidi" w:eastAsiaTheme="majorEastAsia"/>
      <w:color w:val="272727" w:themeColor="text1" w:themeTint="0000D8"/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 w:val="1"/>
    <w:rsid w:val="00973FEC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CmChar" w:customStyle="1">
    <w:name w:val="Cím Char"/>
    <w:basedOn w:val="Bekezdsalapbettpusa"/>
    <w:link w:val="Cm"/>
    <w:uiPriority w:val="10"/>
    <w:rsid w:val="00973FEC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 w:val="1"/>
    <w:rsid w:val="00973FEC"/>
    <w:pPr>
      <w:numPr>
        <w:ilvl w:val="1"/>
      </w:numPr>
      <w:spacing w:after="160"/>
    </w:pPr>
    <w:rPr>
      <w:rFonts w:asciiTheme="minorHAnsi" w:cstheme="majorBidi" w:eastAsiaTheme="majorEastAsia" w:hAnsiTheme="minorHAnsi"/>
      <w:color w:val="595959" w:themeColor="text1" w:themeTint="0000A6"/>
      <w:spacing w:val="15"/>
      <w:sz w:val="28"/>
      <w:szCs w:val="28"/>
    </w:rPr>
  </w:style>
  <w:style w:type="character" w:styleId="AlcmChar" w:customStyle="1">
    <w:name w:val="Alcím Char"/>
    <w:basedOn w:val="Bekezdsalapbettpusa"/>
    <w:link w:val="Alcm"/>
    <w:uiPriority w:val="11"/>
    <w:rsid w:val="00973FEC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 w:val="1"/>
    <w:rsid w:val="00973FEC"/>
    <w:pPr>
      <w:spacing w:after="160" w:before="160"/>
      <w:jc w:val="center"/>
    </w:pPr>
    <w:rPr>
      <w:i w:val="1"/>
      <w:iCs w:val="1"/>
      <w:color w:val="404040" w:themeColor="text1" w:themeTint="0000BF"/>
    </w:rPr>
  </w:style>
  <w:style w:type="character" w:styleId="IdzetChar" w:customStyle="1">
    <w:name w:val="Idézet Char"/>
    <w:basedOn w:val="Bekezdsalapbettpusa"/>
    <w:link w:val="Idzet"/>
    <w:uiPriority w:val="29"/>
    <w:rsid w:val="00973FEC"/>
    <w:rPr>
      <w:rFonts w:ascii="Times New Roman" w:cs="Times New Roman" w:hAnsi="Times New Roman"/>
      <w:i w:val="1"/>
      <w:iCs w:val="1"/>
      <w:color w:val="404040" w:themeColor="text1" w:themeTint="0000BF"/>
      <w:sz w:val="24"/>
      <w:szCs w:val="24"/>
    </w:rPr>
  </w:style>
  <w:style w:type="paragraph" w:styleId="Listaszerbekezds">
    <w:name w:val="List Paragraph"/>
    <w:basedOn w:val="Norml"/>
    <w:uiPriority w:val="34"/>
    <w:qFormat w:val="1"/>
    <w:rsid w:val="00973FEC"/>
    <w:pPr>
      <w:ind w:left="720"/>
      <w:contextualSpacing w:val="1"/>
    </w:pPr>
  </w:style>
  <w:style w:type="character" w:styleId="Erskiemels">
    <w:name w:val="Intense Emphasis"/>
    <w:basedOn w:val="Bekezdsalapbettpusa"/>
    <w:uiPriority w:val="21"/>
    <w:qFormat w:val="1"/>
    <w:rsid w:val="00973FEC"/>
    <w:rPr>
      <w:i w:val="1"/>
      <w:iCs w:val="1"/>
      <w:color w:val="0f4761" w:themeColor="accent1" w:themeShade="0000BF"/>
    </w:rPr>
  </w:style>
  <w:style w:type="paragraph" w:styleId="Kiemeltidzet">
    <w:name w:val="Intense Quote"/>
    <w:basedOn w:val="Norml"/>
    <w:next w:val="Norml"/>
    <w:link w:val="KiemeltidzetChar"/>
    <w:uiPriority w:val="30"/>
    <w:qFormat w:val="1"/>
    <w:rsid w:val="00973FEC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KiemeltidzetChar" w:customStyle="1">
    <w:name w:val="Kiemelt idézet Char"/>
    <w:basedOn w:val="Bekezdsalapbettpusa"/>
    <w:link w:val="Kiemeltidzet"/>
    <w:uiPriority w:val="30"/>
    <w:rsid w:val="00973FEC"/>
    <w:rPr>
      <w:rFonts w:ascii="Times New Roman" w:cs="Times New Roman" w:hAnsi="Times New Roman"/>
      <w:i w:val="1"/>
      <w:iCs w:val="1"/>
      <w:color w:val="0f4761" w:themeColor="accent1" w:themeShade="0000BF"/>
      <w:sz w:val="24"/>
      <w:szCs w:val="24"/>
    </w:rPr>
  </w:style>
  <w:style w:type="character" w:styleId="Ershivatkozs">
    <w:name w:val="Intense Reference"/>
    <w:basedOn w:val="Bekezdsalapbettpusa"/>
    <w:uiPriority w:val="32"/>
    <w:qFormat w:val="1"/>
    <w:rsid w:val="00973FEC"/>
    <w:rPr>
      <w:b w:val="1"/>
      <w:bCs w:val="1"/>
      <w:smallCaps w:val="1"/>
      <w:color w:val="0f4761" w:themeColor="accent1" w:themeShade="0000BF"/>
      <w:spacing w:val="5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Aptos" w:cs="Aptos" w:eastAsia="Aptos" w:hAnsi="Aptos"/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03bgzcSXre+oE330iu6BwJeypaw==">CgMxLjA4AHIhMUJrU292VUFUMHVWV3ZMYVkyOEc2cGVtVGFVN0YxRXUz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2024-02-09T15:52:00Z</dcterms:created>
  <dc:creator>Kapi Péter</dc:creator>
</cp:coreProperties>
</file>