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84277C7" w14:textId="44800A17" w:rsidR="00DE1AC3" w:rsidRPr="0070602C" w:rsidRDefault="0064607F" w:rsidP="00C34F63">
      <w:pPr>
        <w:ind w:left="708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Az ókor nagy háborúi</w:t>
      </w:r>
      <w:r w:rsidR="00DE1AC3" w:rsidRPr="0070602C">
        <w:rPr>
          <w:bCs/>
          <w:sz w:val="36"/>
          <w:szCs w:val="36"/>
        </w:rPr>
        <w:t xml:space="preserve"> – </w:t>
      </w:r>
      <w:r w:rsidRPr="0064607F">
        <w:rPr>
          <w:bCs/>
          <w:sz w:val="36"/>
          <w:szCs w:val="36"/>
        </w:rPr>
        <w:t>BTTRNK118BA</w:t>
      </w:r>
    </w:p>
    <w:p w14:paraId="1A1007E4" w14:textId="31EC1FED" w:rsidR="00DE1AC3" w:rsidRDefault="00AF7C7A" w:rsidP="005804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2025/2026. tanév, </w:t>
      </w:r>
      <w:r w:rsidR="000B5F29">
        <w:rPr>
          <w:sz w:val="28"/>
          <w:szCs w:val="28"/>
        </w:rPr>
        <w:t>tavaszi</w:t>
      </w:r>
      <w:r>
        <w:rPr>
          <w:sz w:val="28"/>
          <w:szCs w:val="28"/>
        </w:rPr>
        <w:t xml:space="preserve"> félév, </w:t>
      </w:r>
      <w:r w:rsidR="00935F2B">
        <w:rPr>
          <w:sz w:val="28"/>
          <w:szCs w:val="28"/>
        </w:rPr>
        <w:t>csütörtök</w:t>
      </w:r>
      <w:r>
        <w:rPr>
          <w:sz w:val="28"/>
          <w:szCs w:val="28"/>
        </w:rPr>
        <w:t xml:space="preserve"> </w:t>
      </w:r>
      <w:r w:rsidR="00935F2B">
        <w:rPr>
          <w:sz w:val="28"/>
          <w:szCs w:val="28"/>
        </w:rPr>
        <w:t>1</w:t>
      </w:r>
      <w:r w:rsidR="00C835F7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="009E3983">
        <w:rPr>
          <w:sz w:val="28"/>
          <w:szCs w:val="28"/>
        </w:rPr>
        <w:t xml:space="preserve">, </w:t>
      </w:r>
      <w:r w:rsidR="00E225BD">
        <w:rPr>
          <w:sz w:val="28"/>
          <w:szCs w:val="28"/>
        </w:rPr>
        <w:t xml:space="preserve">Főépület </w:t>
      </w:r>
      <w:r w:rsidR="00935F2B">
        <w:rPr>
          <w:sz w:val="28"/>
          <w:szCs w:val="28"/>
        </w:rPr>
        <w:t>406</w:t>
      </w:r>
    </w:p>
    <w:p w14:paraId="2FB8F8B6" w14:textId="09FA3E33" w:rsidR="008261AB" w:rsidRPr="00672FE9" w:rsidRDefault="008261AB" w:rsidP="008261AB">
      <w:pPr>
        <w:spacing w:after="600"/>
        <w:jc w:val="center"/>
        <w:rPr>
          <w:color w:val="004735"/>
          <w:sz w:val="28"/>
          <w:szCs w:val="28"/>
        </w:rPr>
      </w:pPr>
      <w:hyperlink r:id="rId7" w:history="1">
        <w:r w:rsidRPr="00672FE9">
          <w:rPr>
            <w:rStyle w:val="Hiperhivatkozs"/>
            <w:color w:val="004735"/>
            <w:sz w:val="28"/>
            <w:szCs w:val="28"/>
          </w:rPr>
          <w:t>berecz.gabor@arts.unideb.hu</w:t>
        </w:r>
      </w:hyperlink>
    </w:p>
    <w:p w14:paraId="69939D38" w14:textId="42E07364" w:rsidR="000D48F0" w:rsidRPr="007B2AC6" w:rsidRDefault="000D48F0" w:rsidP="006F4D4A">
      <w:pPr>
        <w:shd w:val="clear" w:color="auto" w:fill="004735"/>
        <w:spacing w:after="180" w:line="360" w:lineRule="auto"/>
        <w:ind w:left="-142" w:right="-142"/>
        <w:jc w:val="both"/>
        <w:rPr>
          <w:b/>
          <w:bCs/>
          <w:smallCaps/>
          <w:color w:val="FFFFFF" w:themeColor="background1"/>
          <w:sz w:val="28"/>
          <w:szCs w:val="28"/>
        </w:rPr>
      </w:pPr>
      <w:r w:rsidRPr="007B2AC6">
        <w:rPr>
          <w:b/>
          <w:bCs/>
          <w:smallCaps/>
          <w:color w:val="FFFFFF" w:themeColor="background1"/>
          <w:sz w:val="28"/>
          <w:szCs w:val="28"/>
        </w:rPr>
        <w:t>A tárgy célja:</w:t>
      </w:r>
    </w:p>
    <w:p w14:paraId="2D11D207" w14:textId="37D511B6" w:rsidR="0001150E" w:rsidRDefault="006D59A9" w:rsidP="0001150E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jc w:val="both"/>
      </w:pPr>
      <w:r w:rsidRPr="006D59A9">
        <w:t xml:space="preserve">A kurzus </w:t>
      </w:r>
      <w:r>
        <w:t>szakít</w:t>
      </w:r>
      <w:r w:rsidRPr="006D59A9">
        <w:t xml:space="preserve"> a hagyományos, kizárólag eseménytörténeti és taktikai fókuszú hadtörténetírással. A hallgatók a háborúkat nem elszigetelt katonai eseményekként, hanem </w:t>
      </w:r>
      <w:r w:rsidRPr="00B93D30">
        <w:t>összetett társadalmi jelenségekként</w:t>
      </w:r>
      <w:r w:rsidRPr="006D59A9">
        <w:t xml:space="preserve"> ismerik meg, amelyek alapjaiban formálják át az államszervezetet, a kultúrát és az emberi gondolkodást.</w:t>
      </w:r>
    </w:p>
    <w:p w14:paraId="139FE8E4" w14:textId="2C05BF28" w:rsidR="0001150E" w:rsidRPr="0001150E" w:rsidRDefault="0001150E" w:rsidP="0001150E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after="240"/>
        <w:jc w:val="both"/>
      </w:pPr>
      <w:r>
        <w:t>A tantárgy ezért úgy épül fel, hogy minden háború eseménytörténetének, forrásainak áttekintése után összegyűjti, hogy milyen lehetséges utóhatásait azonosíthatjuk a konfliktusoknak. Egyaránt figyelmet fordít társadalomtörténeti jelenségekre, a háborút követően keletkezett szellemi-kulturális javakra, a háborúk emlékezetét őrző épített környezetre.</w:t>
      </w:r>
    </w:p>
    <w:p w14:paraId="40FBFDC6" w14:textId="7E097691" w:rsidR="00DE1AC3" w:rsidRPr="007B2AC6" w:rsidRDefault="00482517" w:rsidP="006F4D4A">
      <w:pPr>
        <w:shd w:val="clear" w:color="auto" w:fill="004735"/>
        <w:spacing w:after="180" w:line="360" w:lineRule="auto"/>
        <w:ind w:left="-142" w:right="-142"/>
        <w:jc w:val="both"/>
        <w:rPr>
          <w:b/>
          <w:smallCaps/>
          <w:color w:val="FFFFFF" w:themeColor="background1"/>
          <w:sz w:val="28"/>
          <w:szCs w:val="28"/>
        </w:rPr>
      </w:pPr>
      <w:r w:rsidRPr="007B2AC6">
        <w:rPr>
          <w:b/>
          <w:smallCaps/>
          <w:color w:val="FFFFFF" w:themeColor="background1"/>
          <w:sz w:val="28"/>
          <w:szCs w:val="28"/>
        </w:rPr>
        <w:t>A félév menete:</w:t>
      </w:r>
    </w:p>
    <w:p w14:paraId="1DB51974" w14:textId="330C0476" w:rsidR="00DE1AC3" w:rsidRPr="00F24192" w:rsidRDefault="0054594B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  <w:rPr>
          <w:b/>
          <w:bCs/>
        </w:rPr>
      </w:pPr>
      <w:r w:rsidRPr="00F24192">
        <w:rPr>
          <w:b/>
          <w:bCs/>
        </w:rPr>
        <w:t xml:space="preserve">A harci kocsik küzdelme: a </w:t>
      </w:r>
      <w:r w:rsidR="0080780D">
        <w:rPr>
          <w:b/>
          <w:bCs/>
        </w:rPr>
        <w:t>q</w:t>
      </w:r>
      <w:r w:rsidRPr="00F24192">
        <w:rPr>
          <w:b/>
          <w:bCs/>
        </w:rPr>
        <w:t>ádesi csata</w:t>
      </w:r>
      <w:r w:rsidR="00720252" w:rsidRPr="00F24192">
        <w:rPr>
          <w:b/>
          <w:bCs/>
        </w:rPr>
        <w:t xml:space="preserve"> (Kr. e. 127</w:t>
      </w:r>
      <w:r w:rsidR="00605930" w:rsidRPr="00F24192">
        <w:rPr>
          <w:b/>
          <w:bCs/>
        </w:rPr>
        <w:t>4</w:t>
      </w:r>
      <w:r w:rsidR="00720252" w:rsidRPr="00F24192">
        <w:rPr>
          <w:b/>
          <w:bCs/>
        </w:rPr>
        <w:t>).</w:t>
      </w:r>
    </w:p>
    <w:p w14:paraId="479E3FD2" w14:textId="234889B8" w:rsidR="00DE1AC3" w:rsidRPr="00CD65B1" w:rsidRDefault="0054594B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</w:pPr>
      <w:r>
        <w:t>Egy háború emlékezete két nézőpontból: a kádesi csata az egyiptomi és a hettita forrásokban, a harcok művészettörténeti lenyomata</w:t>
      </w:r>
      <w:r w:rsidR="00DE1AC3" w:rsidRPr="00CD65B1">
        <w:t xml:space="preserve">. </w:t>
      </w:r>
    </w:p>
    <w:p w14:paraId="1D033C79" w14:textId="3C35F373" w:rsidR="00DE1AC3" w:rsidRPr="00F24192" w:rsidRDefault="004B773D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  <w:rPr>
          <w:b/>
          <w:bCs/>
        </w:rPr>
      </w:pPr>
      <w:r w:rsidRPr="00F24192">
        <w:rPr>
          <w:b/>
          <w:bCs/>
        </w:rPr>
        <w:t>A görög-perzsa háború</w:t>
      </w:r>
      <w:r w:rsidR="00774211">
        <w:rPr>
          <w:b/>
          <w:bCs/>
        </w:rPr>
        <w:t>k</w:t>
      </w:r>
      <w:r w:rsidRPr="00F24192">
        <w:rPr>
          <w:b/>
          <w:bCs/>
        </w:rPr>
        <w:t xml:space="preserve"> története</w:t>
      </w:r>
      <w:r w:rsidR="00720252" w:rsidRPr="00F24192">
        <w:rPr>
          <w:b/>
          <w:bCs/>
        </w:rPr>
        <w:t xml:space="preserve"> (Kr. e. </w:t>
      </w:r>
      <w:r w:rsidR="00C30577" w:rsidRPr="00F24192">
        <w:rPr>
          <w:b/>
          <w:bCs/>
        </w:rPr>
        <w:t>499-449).</w:t>
      </w:r>
    </w:p>
    <w:p w14:paraId="2033B7FD" w14:textId="367071EC" w:rsidR="00DE1AC3" w:rsidRPr="00CD65B1" w:rsidRDefault="004B773D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</w:pPr>
      <w:r>
        <w:t>Kulturális reflexió: a harcok megjelenítése az athéni művészetben és irodalomban</w:t>
      </w:r>
      <w:r w:rsidR="00DE1AC3" w:rsidRPr="00CD65B1">
        <w:t>.</w:t>
      </w:r>
    </w:p>
    <w:p w14:paraId="7B262A11" w14:textId="7C5518B3" w:rsidR="00DE1AC3" w:rsidRPr="00F24192" w:rsidRDefault="00720252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  <w:rPr>
          <w:b/>
          <w:bCs/>
        </w:rPr>
      </w:pPr>
      <w:r w:rsidRPr="00F24192">
        <w:rPr>
          <w:b/>
          <w:bCs/>
        </w:rPr>
        <w:t xml:space="preserve">Nagy Sándor keleti hódításai (Kr. e. </w:t>
      </w:r>
      <w:r w:rsidR="002018A8" w:rsidRPr="00F24192">
        <w:rPr>
          <w:b/>
          <w:bCs/>
        </w:rPr>
        <w:t>334-323)</w:t>
      </w:r>
      <w:r w:rsidR="00EF0F06">
        <w:rPr>
          <w:b/>
          <w:bCs/>
        </w:rPr>
        <w:t>.</w:t>
      </w:r>
    </w:p>
    <w:p w14:paraId="740509CC" w14:textId="236EA846" w:rsidR="00593358" w:rsidRPr="00CD65B1" w:rsidRDefault="00DB490D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</w:pPr>
      <w:r>
        <w:t>A hellénizmus: a keleti „salátástál”, a vallási szinkretizmus fogalma, a hellenisztikus filozófiai iskolák főbb jellemzői.</w:t>
      </w:r>
    </w:p>
    <w:p w14:paraId="5ACB16EA" w14:textId="77777777" w:rsidR="00720252" w:rsidRPr="00F24192" w:rsidRDefault="00720252" w:rsidP="00720252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  <w:rPr>
          <w:b/>
          <w:bCs/>
        </w:rPr>
      </w:pPr>
      <w:r w:rsidRPr="00F24192">
        <w:rPr>
          <w:b/>
          <w:bCs/>
        </w:rPr>
        <w:t>Pun háborúk (Kr. e. 264-146).</w:t>
      </w:r>
    </w:p>
    <w:p w14:paraId="3C3AF8BB" w14:textId="77777777" w:rsidR="00720252" w:rsidRPr="00CD65B1" w:rsidRDefault="00720252" w:rsidP="00720252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</w:pPr>
      <w:r>
        <w:t>Ceterum censeo Carthaginem esse delendam – Hannibal és a győzelem emlékezete a római irodalomban, a háború demográfiai, gazdasági és politikai hatásai.</w:t>
      </w:r>
    </w:p>
    <w:p w14:paraId="5826E326" w14:textId="3EE85F6C" w:rsidR="00DE1AC3" w:rsidRPr="00F24192" w:rsidRDefault="00730936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  <w:rPr>
          <w:b/>
          <w:bCs/>
        </w:rPr>
      </w:pPr>
      <w:r w:rsidRPr="00F24192">
        <w:rPr>
          <w:b/>
          <w:bCs/>
        </w:rPr>
        <w:t xml:space="preserve">A római köztársaság válsága: </w:t>
      </w:r>
      <w:r w:rsidR="00864A8E" w:rsidRPr="00F24192">
        <w:rPr>
          <w:b/>
          <w:bCs/>
        </w:rPr>
        <w:t xml:space="preserve">Caesar és Pompeius, majd Octavianus és Antonius </w:t>
      </w:r>
      <w:r w:rsidRPr="00F24192">
        <w:rPr>
          <w:b/>
          <w:bCs/>
        </w:rPr>
        <w:t>polgárháború</w:t>
      </w:r>
      <w:r w:rsidR="00864A8E" w:rsidRPr="00F24192">
        <w:rPr>
          <w:b/>
          <w:bCs/>
        </w:rPr>
        <w:t>i</w:t>
      </w:r>
      <w:r w:rsidRPr="00F24192">
        <w:rPr>
          <w:b/>
          <w:bCs/>
        </w:rPr>
        <w:t xml:space="preserve"> (Kr. e. 48-30)</w:t>
      </w:r>
      <w:r w:rsidR="00864A8E" w:rsidRPr="00F24192">
        <w:rPr>
          <w:b/>
          <w:bCs/>
        </w:rPr>
        <w:t>.</w:t>
      </w:r>
    </w:p>
    <w:p w14:paraId="49781859" w14:textId="77777777" w:rsidR="00262C2F" w:rsidRDefault="00262C2F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</w:pPr>
      <w:r>
        <w:t>Pax Romana: Augustus családpolitikájának jogi, társadalmi és kulturális vonatkozásai.</w:t>
      </w:r>
    </w:p>
    <w:p w14:paraId="624F18EE" w14:textId="3CA5E615" w:rsidR="00DE1AC3" w:rsidRPr="00F24192" w:rsidRDefault="00E02C12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  <w:rPr>
          <w:b/>
          <w:bCs/>
        </w:rPr>
      </w:pPr>
      <w:r w:rsidRPr="00F24192">
        <w:rPr>
          <w:b/>
          <w:bCs/>
        </w:rPr>
        <w:t>A markomann-kvád-szarmata háborúk (Kr. u. 166/167-180)</w:t>
      </w:r>
      <w:r w:rsidR="00FD6DB3" w:rsidRPr="00F24192">
        <w:rPr>
          <w:b/>
          <w:bCs/>
        </w:rPr>
        <w:t>.</w:t>
      </w:r>
    </w:p>
    <w:p w14:paraId="36B436B4" w14:textId="34269779" w:rsidR="009E1A1C" w:rsidRPr="004679DD" w:rsidRDefault="00622B2B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after="240" w:line="300" w:lineRule="auto"/>
        <w:ind w:left="426" w:hanging="426"/>
        <w:jc w:val="both"/>
      </w:pPr>
      <w:r>
        <w:t>A háború pusztításának nyomai, a római limes-rendszer értékelése, Marcus Aurelius esőcsodája, a népvándorlás korának előszele?</w:t>
      </w:r>
    </w:p>
    <w:p w14:paraId="7B806F6A" w14:textId="77777777" w:rsidR="004679DD" w:rsidRDefault="004679DD">
      <w:pPr>
        <w:spacing w:after="160" w:line="259" w:lineRule="auto"/>
        <w:rPr>
          <w:b/>
          <w:bCs/>
          <w:smallCaps/>
          <w:color w:val="FFFFFF" w:themeColor="background1"/>
          <w:sz w:val="28"/>
          <w:szCs w:val="28"/>
        </w:rPr>
      </w:pPr>
      <w:r>
        <w:rPr>
          <w:b/>
          <w:bCs/>
          <w:smallCaps/>
          <w:color w:val="FFFFFF" w:themeColor="background1"/>
          <w:sz w:val="28"/>
          <w:szCs w:val="28"/>
        </w:rPr>
        <w:br w:type="page"/>
      </w:r>
    </w:p>
    <w:p w14:paraId="160102CB" w14:textId="27798217" w:rsidR="001510E7" w:rsidRPr="007B2AC6" w:rsidRDefault="001510E7" w:rsidP="006F4D4A">
      <w:pPr>
        <w:shd w:val="clear" w:color="auto" w:fill="004735"/>
        <w:spacing w:after="180" w:line="360" w:lineRule="auto"/>
        <w:ind w:left="-142" w:right="-142"/>
        <w:jc w:val="both"/>
        <w:rPr>
          <w:b/>
          <w:bCs/>
          <w:smallCaps/>
          <w:color w:val="FFFFFF" w:themeColor="background1"/>
          <w:sz w:val="28"/>
          <w:szCs w:val="28"/>
        </w:rPr>
      </w:pPr>
      <w:r w:rsidRPr="007B2AC6">
        <w:rPr>
          <w:b/>
          <w:bCs/>
          <w:smallCaps/>
          <w:color w:val="FFFFFF" w:themeColor="background1"/>
          <w:sz w:val="28"/>
          <w:szCs w:val="28"/>
        </w:rPr>
        <w:lastRenderedPageBreak/>
        <w:t>A tárgy teljesítése:</w:t>
      </w:r>
    </w:p>
    <w:p w14:paraId="0DE7E9C9" w14:textId="75F6E3C6" w:rsidR="00130495" w:rsidRDefault="00C05903" w:rsidP="00B2295D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after="240"/>
        <w:jc w:val="both"/>
      </w:pPr>
      <w:r>
        <w:t xml:space="preserve">Az érdemjegy – az órai szemináriumi jellegéből adódóan – két elemből áll össze. Egyrészt fontos az </w:t>
      </w:r>
      <w:r>
        <w:rPr>
          <w:b/>
          <w:bCs/>
        </w:rPr>
        <w:t>aktív órai jelenlét</w:t>
      </w:r>
      <w:r w:rsidR="001C68AC">
        <w:rPr>
          <w:b/>
          <w:bCs/>
        </w:rPr>
        <w:t xml:space="preserve"> </w:t>
      </w:r>
      <w:r w:rsidR="001C68AC">
        <w:t>(1/3-os súlyozással)</w:t>
      </w:r>
      <w:r>
        <w:t xml:space="preserve">, másrészt </w:t>
      </w:r>
      <w:r w:rsidR="001C68AC">
        <w:t xml:space="preserve">egy </w:t>
      </w:r>
      <w:r w:rsidR="006E4FE7">
        <w:rPr>
          <w:b/>
          <w:bCs/>
        </w:rPr>
        <w:t>szemináriumi</w:t>
      </w:r>
      <w:r w:rsidR="001C68AC">
        <w:rPr>
          <w:b/>
          <w:bCs/>
        </w:rPr>
        <w:t xml:space="preserve"> dolgozat</w:t>
      </w:r>
      <w:r w:rsidR="00424963">
        <w:rPr>
          <w:b/>
          <w:bCs/>
        </w:rPr>
        <w:t xml:space="preserve">, </w:t>
      </w:r>
      <w:r w:rsidR="00424963" w:rsidRPr="00EF6DCC">
        <w:t>amely</w:t>
      </w:r>
      <w:r w:rsidR="001C68AC">
        <w:t xml:space="preserve"> </w:t>
      </w:r>
      <w:r w:rsidR="007527C1">
        <w:t>a szemináriumi dolgozatok általános formai követelményeit</w:t>
      </w:r>
      <w:r w:rsidR="001C68AC">
        <w:t xml:space="preserve"> kövesse. A cél, hogy a hallgató </w:t>
      </w:r>
      <w:r w:rsidR="001C68AC" w:rsidRPr="000E11DC">
        <w:rPr>
          <w:b/>
          <w:bCs/>
        </w:rPr>
        <w:t>egy egy általa</w:t>
      </w:r>
      <w:r w:rsidR="009344D9">
        <w:t xml:space="preserve"> (bármely történeti korból)</w:t>
      </w:r>
      <w:r w:rsidR="001C68AC">
        <w:t xml:space="preserve"> </w:t>
      </w:r>
      <w:r w:rsidR="001C68AC" w:rsidRPr="000E11DC">
        <w:rPr>
          <w:b/>
          <w:bCs/>
        </w:rPr>
        <w:t>választott</w:t>
      </w:r>
      <w:r w:rsidR="001C68AC">
        <w:t xml:space="preserve"> </w:t>
      </w:r>
      <w:r w:rsidR="001C68AC" w:rsidRPr="000E11DC">
        <w:rPr>
          <w:b/>
          <w:bCs/>
        </w:rPr>
        <w:t>hábor</w:t>
      </w:r>
      <w:r w:rsidR="00D9190B">
        <w:rPr>
          <w:b/>
          <w:bCs/>
        </w:rPr>
        <w:t>út dolgozzon fel</w:t>
      </w:r>
      <w:r w:rsidR="003C229F">
        <w:t>, de</w:t>
      </w:r>
      <w:r w:rsidR="00155272">
        <w:t xml:space="preserve"> e szeminárium módszertanán alapul</w:t>
      </w:r>
      <w:r w:rsidR="003C229F">
        <w:t xml:space="preserve">va, </w:t>
      </w:r>
      <w:r w:rsidR="00155272">
        <w:t>legalább 50%-os arányban</w:t>
      </w:r>
      <w:r w:rsidR="003C229F">
        <w:t>,</w:t>
      </w:r>
      <w:r w:rsidR="00155272">
        <w:t xml:space="preserve"> </w:t>
      </w:r>
      <w:r w:rsidR="00155272" w:rsidRPr="008B0699">
        <w:rPr>
          <w:b/>
          <w:bCs/>
        </w:rPr>
        <w:t>dolgozza fel annak lehetséges utóhatásait</w:t>
      </w:r>
      <w:r w:rsidR="00155272">
        <w:t xml:space="preserve"> is (földrajzi, társadalmi, egészségügyi, pszichés, kulturális, művészettörténeti stb.).</w:t>
      </w:r>
    </w:p>
    <w:p w14:paraId="5021D20F" w14:textId="3E02E343" w:rsidR="005B5773" w:rsidRPr="007B2AC6" w:rsidRDefault="005B5773" w:rsidP="006F4D4A">
      <w:pPr>
        <w:shd w:val="clear" w:color="auto" w:fill="004735"/>
        <w:spacing w:after="180" w:line="360" w:lineRule="auto"/>
        <w:ind w:left="-142" w:right="-142"/>
        <w:rPr>
          <w:b/>
          <w:bCs/>
          <w:smallCaps/>
          <w:color w:val="FFFFFF" w:themeColor="background1"/>
          <w:sz w:val="28"/>
          <w:szCs w:val="28"/>
        </w:rPr>
      </w:pPr>
      <w:r w:rsidRPr="007B2AC6">
        <w:rPr>
          <w:b/>
          <w:bCs/>
          <w:smallCaps/>
          <w:color w:val="FFFFFF" w:themeColor="background1"/>
          <w:sz w:val="28"/>
          <w:szCs w:val="28"/>
        </w:rPr>
        <w:t>Források:</w:t>
      </w:r>
    </w:p>
    <w:p w14:paraId="0D8F8E51" w14:textId="4DFBD78A" w:rsidR="00976E29" w:rsidRPr="00D62C68" w:rsidRDefault="005B5773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ind w:left="426" w:hanging="426"/>
        <w:contextualSpacing w:val="0"/>
      </w:pPr>
      <w:r w:rsidRPr="00D62C68">
        <w:t xml:space="preserve">Borhy </w:t>
      </w:r>
      <w:r w:rsidR="008B5C59" w:rsidRPr="00D62C68">
        <w:t>László (Szerk.):</w:t>
      </w:r>
      <w:r w:rsidRPr="00D62C68">
        <w:t xml:space="preserve"> </w:t>
      </w:r>
      <w:r w:rsidRPr="00D62C68">
        <w:rPr>
          <w:i/>
          <w:iCs/>
        </w:rPr>
        <w:t>Római történelem. Szöveggyűjtemény</w:t>
      </w:r>
      <w:r w:rsidRPr="00D62C68">
        <w:t xml:space="preserve">. Budapest, </w:t>
      </w:r>
      <w:r w:rsidR="00056A60" w:rsidRPr="00D62C68">
        <w:t>1998.</w:t>
      </w:r>
    </w:p>
    <w:p w14:paraId="53439073" w14:textId="67DC6806" w:rsidR="00976E29" w:rsidRPr="00D62C68" w:rsidRDefault="005B5773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ind w:left="426" w:hanging="426"/>
        <w:contextualSpacing w:val="0"/>
      </w:pPr>
      <w:r w:rsidRPr="00D62C68">
        <w:t xml:space="preserve">Borzsák </w:t>
      </w:r>
      <w:r w:rsidR="00C96256" w:rsidRPr="00D62C68">
        <w:t>István (Szerk.):</w:t>
      </w:r>
      <w:r w:rsidRPr="00D62C68">
        <w:t xml:space="preserve"> </w:t>
      </w:r>
      <w:r w:rsidRPr="00D62C68">
        <w:rPr>
          <w:i/>
          <w:iCs/>
        </w:rPr>
        <w:t>Római történeti chrestomathia</w:t>
      </w:r>
      <w:r w:rsidRPr="00D62C68">
        <w:t>.</w:t>
      </w:r>
      <w:r w:rsidR="000B6D83" w:rsidRPr="00D62C68">
        <w:t xml:space="preserve"> (Rövidítve: RTCh.)</w:t>
      </w:r>
      <w:r w:rsidRPr="00D62C68">
        <w:t xml:space="preserve"> Budapest, </w:t>
      </w:r>
      <w:r w:rsidR="00004409" w:rsidRPr="00D62C68">
        <w:t>1963.</w:t>
      </w:r>
      <w:r w:rsidRPr="00D62C68">
        <w:t xml:space="preserve"> </w:t>
      </w:r>
    </w:p>
    <w:p w14:paraId="169AF042" w14:textId="0CA5E4B4" w:rsidR="00976E29" w:rsidRPr="00D62C68" w:rsidRDefault="005B5773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ind w:left="426" w:hanging="426"/>
        <w:contextualSpacing w:val="0"/>
      </w:pPr>
      <w:r w:rsidRPr="00D62C68">
        <w:t xml:space="preserve">Hahn István </w:t>
      </w:r>
      <w:r w:rsidR="00F662BE" w:rsidRPr="00D62C68">
        <w:t>(Szerk.):</w:t>
      </w:r>
      <w:r w:rsidRPr="00D62C68">
        <w:t xml:space="preserve"> </w:t>
      </w:r>
      <w:r w:rsidRPr="00D62C68">
        <w:rPr>
          <w:i/>
          <w:iCs/>
        </w:rPr>
        <w:t>A hadművészet ókori klasszikusai</w:t>
      </w:r>
      <w:r w:rsidRPr="00D62C68">
        <w:t xml:space="preserve">. Budapest, </w:t>
      </w:r>
      <w:r w:rsidR="00600043" w:rsidRPr="00D62C68">
        <w:t>1963.</w:t>
      </w:r>
    </w:p>
    <w:p w14:paraId="05D50D9D" w14:textId="72CA238F" w:rsidR="00D62C68" w:rsidRDefault="00D62C68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ind w:left="426" w:hanging="426"/>
        <w:contextualSpacing w:val="0"/>
      </w:pPr>
      <w:r>
        <w:t xml:space="preserve">Harmatta János (Szerk.): </w:t>
      </w:r>
      <w:r w:rsidRPr="00CA17B9">
        <w:t>Ókori keleti történeti chrestomathia</w:t>
      </w:r>
      <w:r>
        <w:t>. Budapest, 2003.</w:t>
      </w:r>
    </w:p>
    <w:p w14:paraId="64547F4F" w14:textId="055C8548" w:rsidR="00536549" w:rsidRDefault="00536549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ind w:left="426" w:hanging="426"/>
        <w:contextualSpacing w:val="0"/>
      </w:pPr>
      <w:r>
        <w:t>Héródi</w:t>
      </w:r>
      <w:r w:rsidR="007F72B5">
        <w:t>a</w:t>
      </w:r>
      <w:r>
        <w:t xml:space="preserve">nos: </w:t>
      </w:r>
      <w:r w:rsidR="007F72B5">
        <w:t xml:space="preserve">A Római Birodalom története Marcus Aurelius halálától. </w:t>
      </w:r>
      <w:r w:rsidR="00D72277">
        <w:t xml:space="preserve">Ford.: Fehér Bence és Kovács Péter. </w:t>
      </w:r>
      <w:r w:rsidR="00626289">
        <w:t>Budapest, 2010.</w:t>
      </w:r>
    </w:p>
    <w:p w14:paraId="6C06B9B5" w14:textId="17ED242C" w:rsidR="00B45E5C" w:rsidRPr="00D62C68" w:rsidRDefault="00B45E5C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ind w:left="426" w:hanging="426"/>
        <w:contextualSpacing w:val="0"/>
      </w:pPr>
      <w:r>
        <w:t>Hérodotosz: A görög-perzsa háború. Budapest, 1998.</w:t>
      </w:r>
    </w:p>
    <w:p w14:paraId="30E25CC9" w14:textId="47EE569A" w:rsidR="00976E29" w:rsidRPr="00D62C68" w:rsidRDefault="005B5773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ind w:left="426" w:hanging="426"/>
        <w:contextualSpacing w:val="0"/>
      </w:pPr>
      <w:r w:rsidRPr="00D62C68">
        <w:rPr>
          <w:i/>
          <w:iCs/>
        </w:rPr>
        <w:t>Iulius Caesar feljegyzései a gall háborúról</w:t>
      </w:r>
      <w:r w:rsidRPr="00D62C68">
        <w:t>. Ford.</w:t>
      </w:r>
      <w:r w:rsidR="001A4B3A" w:rsidRPr="00D62C68">
        <w:t>:</w:t>
      </w:r>
      <w:r w:rsidRPr="00D62C68">
        <w:t xml:space="preserve"> Szepessy Tibor.</w:t>
      </w:r>
      <w:r w:rsidR="00CC410E" w:rsidRPr="00D62C68">
        <w:t xml:space="preserve">, illetve </w:t>
      </w:r>
      <w:r w:rsidR="00E97AA0" w:rsidRPr="00D62C68">
        <w:rPr>
          <w:i/>
          <w:iCs/>
        </w:rPr>
        <w:t>Iulius Caesar feljegyzései</w:t>
      </w:r>
      <w:r w:rsidRPr="00D62C68">
        <w:rPr>
          <w:i/>
          <w:iCs/>
        </w:rPr>
        <w:t xml:space="preserve"> a polgárháborúról</w:t>
      </w:r>
      <w:r w:rsidRPr="00D62C68">
        <w:t>. Ford.</w:t>
      </w:r>
      <w:r w:rsidR="00E97AA0" w:rsidRPr="00D62C68">
        <w:t>:</w:t>
      </w:r>
      <w:r w:rsidRPr="00D62C68">
        <w:t xml:space="preserve"> Ürögdi György. Budapest, 1974. </w:t>
      </w:r>
    </w:p>
    <w:p w14:paraId="66646B04" w14:textId="557257D2" w:rsidR="005B5773" w:rsidRPr="00D62C68" w:rsidRDefault="005B5773" w:rsidP="00D62C68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spacing w:after="240"/>
        <w:ind w:left="425" w:hanging="425"/>
        <w:contextualSpacing w:val="0"/>
      </w:pPr>
      <w:r w:rsidRPr="00D62C68">
        <w:rPr>
          <w:i/>
          <w:iCs/>
        </w:rPr>
        <w:t>Polybios történeti könyvei</w:t>
      </w:r>
      <w:r w:rsidRPr="00D62C68">
        <w:t>. Ford.</w:t>
      </w:r>
      <w:r w:rsidR="008B6915" w:rsidRPr="00D62C68">
        <w:t>:</w:t>
      </w:r>
      <w:r w:rsidRPr="00D62C68">
        <w:t xml:space="preserve"> Forisek Péter, Kató Péter, Sipos Flórián, Patay-Horváth András. Máriabesnyő - Gödöllő, 2002.</w:t>
      </w:r>
    </w:p>
    <w:p w14:paraId="4EB52CF2" w14:textId="7D0B8175" w:rsidR="005B5773" w:rsidRPr="007B2AC6" w:rsidRDefault="005B5773" w:rsidP="006F4D4A">
      <w:pPr>
        <w:shd w:val="clear" w:color="auto" w:fill="004735"/>
        <w:spacing w:after="180" w:line="360" w:lineRule="auto"/>
        <w:ind w:left="-142" w:right="-142"/>
        <w:rPr>
          <w:b/>
          <w:bCs/>
          <w:smallCaps/>
          <w:color w:val="FFFFFF" w:themeColor="background1"/>
          <w:sz w:val="28"/>
          <w:szCs w:val="28"/>
        </w:rPr>
      </w:pPr>
      <w:r w:rsidRPr="007B2AC6">
        <w:rPr>
          <w:b/>
          <w:bCs/>
          <w:smallCaps/>
          <w:color w:val="FFFFFF" w:themeColor="background1"/>
          <w:sz w:val="28"/>
          <w:szCs w:val="28"/>
        </w:rPr>
        <w:t>Szakirodalom:</w:t>
      </w:r>
    </w:p>
    <w:p w14:paraId="4C398C89" w14:textId="7D2A03DD" w:rsidR="00DC3049" w:rsidRPr="00490D4C" w:rsidRDefault="00D62C68" w:rsidP="00DC3049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jc w:val="both"/>
        <w:rPr>
          <w:color w:val="004735"/>
        </w:rPr>
      </w:pPr>
      <w:r w:rsidRPr="00490D4C">
        <w:rPr>
          <w:b/>
          <w:bCs/>
          <w:color w:val="004735"/>
        </w:rPr>
        <w:t>A qádesi csatához:</w:t>
      </w:r>
    </w:p>
    <w:p w14:paraId="71D825C0" w14:textId="77777777" w:rsidR="00691EE5" w:rsidRPr="00D62C68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D62C68">
        <w:t xml:space="preserve">Bryce, Trevor: </w:t>
      </w:r>
      <w:r w:rsidRPr="00972340">
        <w:rPr>
          <w:i/>
          <w:iCs/>
        </w:rPr>
        <w:t>The Kingdom of the Hittites</w:t>
      </w:r>
      <w:r w:rsidRPr="00D62C68">
        <w:t>. Oxford, 2005, 266-286.</w:t>
      </w:r>
    </w:p>
    <w:p w14:paraId="0C2D3814" w14:textId="77777777" w:rsidR="00691EE5" w:rsidRPr="00D62C68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D62C68">
        <w:t xml:space="preserve">Kákosy László: </w:t>
      </w:r>
      <w:r w:rsidRPr="00972340">
        <w:rPr>
          <w:i/>
          <w:iCs/>
        </w:rPr>
        <w:t>Az ókori Egyiptom története és kultúrája</w:t>
      </w:r>
      <w:r w:rsidRPr="00D62C68">
        <w:t>. Budapest, 1998, 161-167.</w:t>
      </w:r>
    </w:p>
    <w:p w14:paraId="3DCD1E86" w14:textId="11513DDE" w:rsidR="00691EE5" w:rsidRPr="00484767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484767">
        <w:t>Kalla Gábor: Kádes, Kr. e. 1274 – A világtörténelem első dokumentált csatája. (In: Nagy csaták 1. Az ókortól a középkorig, szerk. Hermann Róbert, Corvina, 2011</w:t>
      </w:r>
      <w:r w:rsidR="00484767" w:rsidRPr="00484767">
        <w:t>.</w:t>
      </w:r>
    </w:p>
    <w:p w14:paraId="0118CA8F" w14:textId="77777777" w:rsidR="00691EE5" w:rsidRPr="00D62C68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D62C68">
        <w:t xml:space="preserve">Roaf, Michael: </w:t>
      </w:r>
      <w:r w:rsidRPr="00972340">
        <w:rPr>
          <w:i/>
          <w:iCs/>
        </w:rPr>
        <w:t>A mezopotámiai világ atlasza</w:t>
      </w:r>
      <w:r w:rsidRPr="00D62C68">
        <w:t>. Budapest, 1998, 144-146.</w:t>
      </w:r>
    </w:p>
    <w:p w14:paraId="2F1F7531" w14:textId="77777777" w:rsidR="00691EE5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D62C68">
        <w:t xml:space="preserve">Spalinger, Anthony J.: </w:t>
      </w:r>
      <w:r w:rsidRPr="00972340">
        <w:rPr>
          <w:i/>
          <w:iCs/>
        </w:rPr>
        <w:t>War in Ancient Egypt</w:t>
      </w:r>
      <w:r w:rsidRPr="00D62C68">
        <w:t>, Blackwell, 2005, 209-234.</w:t>
      </w:r>
    </w:p>
    <w:p w14:paraId="1939538D" w14:textId="0EDC35D2" w:rsidR="00D62C68" w:rsidRPr="00490D4C" w:rsidRDefault="00D62C68" w:rsidP="00D62C68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jc w:val="both"/>
        <w:rPr>
          <w:color w:val="004735"/>
        </w:rPr>
      </w:pPr>
      <w:r w:rsidRPr="00490D4C">
        <w:rPr>
          <w:b/>
          <w:bCs/>
          <w:color w:val="004735"/>
        </w:rPr>
        <w:t>A görög-perzsa háborúhoz:</w:t>
      </w:r>
    </w:p>
    <w:p w14:paraId="71404AFD" w14:textId="77777777" w:rsidR="00691EE5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Green, Peter: </w:t>
      </w:r>
      <w:r w:rsidRPr="00194BD7">
        <w:rPr>
          <w:i/>
          <w:iCs/>
        </w:rPr>
        <w:t>The Greco-Persian Wars</w:t>
      </w:r>
      <w:r>
        <w:t>. Berkeley – Los Angeles – London, 1996.</w:t>
      </w:r>
    </w:p>
    <w:p w14:paraId="4A89D088" w14:textId="77777777" w:rsidR="00691EE5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Hegyi Dolores – Kertész István – Németh György – Sarkady János: </w:t>
      </w:r>
      <w:r>
        <w:rPr>
          <w:i/>
          <w:iCs/>
        </w:rPr>
        <w:t>Görög történelem</w:t>
      </w:r>
      <w:r>
        <w:t xml:space="preserve">. </w:t>
      </w:r>
      <w:r>
        <w:rPr>
          <w:i/>
          <w:iCs/>
        </w:rPr>
        <w:t>A kezdetektől Kr. e. 30-ig</w:t>
      </w:r>
      <w:r>
        <w:t xml:space="preserve">. Budapest, 2006, </w:t>
      </w:r>
      <w:r w:rsidRPr="00F87455">
        <w:t>156-166.</w:t>
      </w:r>
    </w:p>
    <w:p w14:paraId="2411DEBB" w14:textId="77777777" w:rsidR="00691EE5" w:rsidRPr="00F87455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Hurwit, Jeffrey M.: </w:t>
      </w:r>
      <w:r w:rsidRPr="009A747D">
        <w:rPr>
          <w:i/>
          <w:iCs/>
        </w:rPr>
        <w:t>The Acropolis in the Age of Pericles</w:t>
      </w:r>
      <w:r>
        <w:t>. Cambridge, 2004.</w:t>
      </w:r>
    </w:p>
    <w:p w14:paraId="5C9A5FEF" w14:textId="77777777" w:rsidR="00691EE5" w:rsidRPr="00F87455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F87455">
        <w:t xml:space="preserve">Németh György – Hegyi W. György: </w:t>
      </w:r>
      <w:r w:rsidRPr="00972340">
        <w:rPr>
          <w:i/>
          <w:iCs/>
        </w:rPr>
        <w:t>Görög-római történelem</w:t>
      </w:r>
      <w:r w:rsidRPr="00F87455">
        <w:t>. Budapest, 2011, 141-156.</w:t>
      </w:r>
    </w:p>
    <w:p w14:paraId="0616189E" w14:textId="77777777" w:rsidR="009F2C08" w:rsidRDefault="009F2C08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5035E2C" w14:textId="6DC3A822" w:rsidR="0003227B" w:rsidRPr="00490D4C" w:rsidRDefault="0003227B" w:rsidP="0003227B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jc w:val="both"/>
        <w:rPr>
          <w:b/>
          <w:bCs/>
          <w:color w:val="004735"/>
        </w:rPr>
      </w:pPr>
      <w:r w:rsidRPr="00490D4C">
        <w:rPr>
          <w:b/>
          <w:bCs/>
          <w:color w:val="004735"/>
        </w:rPr>
        <w:lastRenderedPageBreak/>
        <w:t>Nagy Sándor hódításaihoz:</w:t>
      </w:r>
    </w:p>
    <w:p w14:paraId="593CC09B" w14:textId="77777777" w:rsidR="00691EE5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6865D0">
        <w:t xml:space="preserve">Boros János - Lendvai L. Ferenc </w:t>
      </w:r>
      <w:r>
        <w:t>(S</w:t>
      </w:r>
      <w:r w:rsidRPr="006865D0">
        <w:t>zerk.</w:t>
      </w:r>
      <w:r>
        <w:t>)</w:t>
      </w:r>
      <w:r w:rsidRPr="006865D0">
        <w:t xml:space="preserve">: </w:t>
      </w:r>
      <w:r w:rsidRPr="00F16036">
        <w:rPr>
          <w:i/>
          <w:iCs/>
        </w:rPr>
        <w:t>Bevezetés a filozófia történetébe. A preszókratikusoktól Derridáig</w:t>
      </w:r>
      <w:r>
        <w:t xml:space="preserve">. Budapest, 2009, </w:t>
      </w:r>
      <w:r w:rsidRPr="006865D0">
        <w:t>51-54.</w:t>
      </w:r>
    </w:p>
    <w:p w14:paraId="0AB5DF51" w14:textId="77777777" w:rsidR="00691EE5" w:rsidRPr="00EA14C0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EA14C0">
        <w:t xml:space="preserve">Filozófiatörténeti jegyzet a sztoikus és epikureus tanokhoz: </w:t>
      </w:r>
      <w:hyperlink r:id="rId8" w:history="1">
        <w:r w:rsidRPr="00871137">
          <w:rPr>
            <w:rStyle w:val="Hiperhivatkozs"/>
            <w:color w:val="0070C0"/>
          </w:rPr>
          <w:t>https://mek.oszk.hu/08700/08784/html/filozofia.htm</w:t>
        </w:r>
      </w:hyperlink>
    </w:p>
    <w:p w14:paraId="7E44D434" w14:textId="77777777" w:rsidR="00691EE5" w:rsidRDefault="00691EE5" w:rsidP="00C07EA0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Hegyi Dolores – Kertész István – Németh György – Sarkady János: </w:t>
      </w:r>
      <w:r>
        <w:rPr>
          <w:i/>
          <w:iCs/>
        </w:rPr>
        <w:t>Görög történelem</w:t>
      </w:r>
      <w:r>
        <w:t xml:space="preserve">. </w:t>
      </w:r>
      <w:r>
        <w:rPr>
          <w:i/>
          <w:iCs/>
        </w:rPr>
        <w:t>A kezdetektől Kr. e. 30-ig</w:t>
      </w:r>
      <w:r>
        <w:t>. Budapest, 2006, 256-318.</w:t>
      </w:r>
    </w:p>
    <w:p w14:paraId="2A88FFDF" w14:textId="1BC98985" w:rsidR="00E42CC0" w:rsidRPr="00490D4C" w:rsidRDefault="00E42CC0" w:rsidP="00E42CC0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jc w:val="both"/>
        <w:rPr>
          <w:color w:val="004735"/>
        </w:rPr>
      </w:pPr>
      <w:r w:rsidRPr="00490D4C">
        <w:rPr>
          <w:b/>
          <w:bCs/>
          <w:color w:val="004735"/>
        </w:rPr>
        <w:t>A pun háborúkhoz:</w:t>
      </w:r>
    </w:p>
    <w:p w14:paraId="1CB3C2B3" w14:textId="77777777" w:rsidR="00F172BC" w:rsidRDefault="00F172BC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Gruen, Erich S.: </w:t>
      </w:r>
      <w:r w:rsidRPr="00384491">
        <w:rPr>
          <w:i/>
          <w:iCs/>
        </w:rPr>
        <w:t>Culture and National Identity in Republican Rome</w:t>
      </w:r>
      <w:r>
        <w:t>. Duckwort, 1993.</w:t>
      </w:r>
    </w:p>
    <w:p w14:paraId="37410620" w14:textId="77777777" w:rsidR="00F172BC" w:rsidRDefault="00F172BC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Hahn István – Máté György: </w:t>
      </w:r>
      <w:r w:rsidRPr="00AA5B29">
        <w:rPr>
          <w:i/>
          <w:iCs/>
        </w:rPr>
        <w:t>Karthagó</w:t>
      </w:r>
      <w:r>
        <w:t>. Budapest, 1972.</w:t>
      </w:r>
    </w:p>
    <w:p w14:paraId="5494BCD6" w14:textId="77777777" w:rsidR="00F172BC" w:rsidRDefault="00F172BC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890BAC">
        <w:t xml:space="preserve">Havas László. – Hegyi W. György – Szabó Edit: </w:t>
      </w:r>
      <w:r w:rsidRPr="00890BAC">
        <w:rPr>
          <w:i/>
          <w:iCs/>
        </w:rPr>
        <w:t>Római történelem</w:t>
      </w:r>
      <w:r w:rsidRPr="00890BAC">
        <w:t>. Budapest, 2007</w:t>
      </w:r>
      <w:r>
        <w:t>, 198-205.</w:t>
      </w:r>
    </w:p>
    <w:p w14:paraId="691D34F5" w14:textId="77777777" w:rsidR="00F172BC" w:rsidRDefault="00F172BC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Hoffmann, Wilhelm: </w:t>
      </w:r>
      <w:r w:rsidRPr="00BA4150">
        <w:rPr>
          <w:i/>
          <w:iCs/>
        </w:rPr>
        <w:t>Hannibal</w:t>
      </w:r>
      <w:r>
        <w:t>. Budapest, 1971.</w:t>
      </w:r>
    </w:p>
    <w:p w14:paraId="20858554" w14:textId="77777777" w:rsidR="00F172BC" w:rsidRDefault="00F172BC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Hoyos, Dexter: </w:t>
      </w:r>
      <w:r w:rsidRPr="00AA5B29">
        <w:rPr>
          <w:i/>
          <w:iCs/>
        </w:rPr>
        <w:t>Mastering the West: Rome and Carthage at War</w:t>
      </w:r>
      <w:r>
        <w:t>. Oxford, 2015.</w:t>
      </w:r>
    </w:p>
    <w:p w14:paraId="7F6C5E46" w14:textId="5187148E" w:rsidR="0040195C" w:rsidRPr="00490D4C" w:rsidRDefault="0040195C" w:rsidP="0040195C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jc w:val="both"/>
        <w:rPr>
          <w:color w:val="004735"/>
        </w:rPr>
      </w:pPr>
      <w:r w:rsidRPr="00490D4C">
        <w:rPr>
          <w:b/>
          <w:bCs/>
          <w:color w:val="004735"/>
        </w:rPr>
        <w:t>A római polgárháborúkhoz:</w:t>
      </w:r>
    </w:p>
    <w:p w14:paraId="452956AF" w14:textId="77777777" w:rsidR="00F172BC" w:rsidRDefault="00F172BC" w:rsidP="00507AB5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890BAC">
        <w:t xml:space="preserve">Havas László. – Hegyi W. György – Szabó Edit: </w:t>
      </w:r>
      <w:r w:rsidRPr="00890BAC">
        <w:rPr>
          <w:i/>
          <w:iCs/>
        </w:rPr>
        <w:t>Római történelem</w:t>
      </w:r>
      <w:r w:rsidRPr="00890BAC">
        <w:t>. Budapest, 2007</w:t>
      </w:r>
      <w:r>
        <w:t>, 334-343, 373-393.</w:t>
      </w:r>
    </w:p>
    <w:p w14:paraId="5DEF5C47" w14:textId="77777777" w:rsidR="00F172BC" w:rsidRDefault="00F172BC" w:rsidP="0094775C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Kienast, Dietmar: </w:t>
      </w:r>
      <w:r w:rsidRPr="003A55DA">
        <w:rPr>
          <w:i/>
          <w:iCs/>
        </w:rPr>
        <w:t>Augustus</w:t>
      </w:r>
      <w:r>
        <w:t>. Darmstadt, 1982, 67-263.</w:t>
      </w:r>
    </w:p>
    <w:p w14:paraId="42B3EE6D" w14:textId="77777777" w:rsidR="00F172BC" w:rsidRDefault="00F172BC" w:rsidP="0094775C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94775C">
        <w:t xml:space="preserve">Utcsenko, Szergej L.: </w:t>
      </w:r>
      <w:r w:rsidRPr="0094775C">
        <w:rPr>
          <w:i/>
          <w:iCs/>
        </w:rPr>
        <w:t>Iulius Caesar</w:t>
      </w:r>
      <w:r w:rsidRPr="0094775C">
        <w:t>. Budapest, 1986</w:t>
      </w:r>
      <w:r>
        <w:t>, 254-412.</w:t>
      </w:r>
    </w:p>
    <w:p w14:paraId="01907657" w14:textId="34E40673" w:rsidR="00003532" w:rsidRPr="00490D4C" w:rsidRDefault="00003532" w:rsidP="00003532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jc w:val="both"/>
        <w:rPr>
          <w:color w:val="004735"/>
        </w:rPr>
      </w:pPr>
      <w:r w:rsidRPr="00490D4C">
        <w:rPr>
          <w:b/>
          <w:bCs/>
          <w:color w:val="004735"/>
        </w:rPr>
        <w:t>A markomann-kvád-szarmata háborúkhoz:</w:t>
      </w:r>
    </w:p>
    <w:p w14:paraId="4E93486E" w14:textId="77777777" w:rsidR="00F172BC" w:rsidRPr="00AC50FA" w:rsidRDefault="00F172BC" w:rsidP="00AD2333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AC50FA">
        <w:t xml:space="preserve">Havas László. – Hegyi W. György – Szabó Edit: </w:t>
      </w:r>
      <w:r w:rsidRPr="00AC50FA">
        <w:rPr>
          <w:i/>
          <w:iCs/>
        </w:rPr>
        <w:t>Római történelem</w:t>
      </w:r>
      <w:r w:rsidRPr="00AC50FA">
        <w:t>. Budapest, 2007, 519-524.</w:t>
      </w:r>
    </w:p>
    <w:p w14:paraId="034E7D6E" w14:textId="77777777" w:rsidR="00F172BC" w:rsidRPr="00AC50FA" w:rsidRDefault="00F172BC" w:rsidP="001F40F3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AC50FA">
        <w:t xml:space="preserve">Kovács Péter (Szerk.): </w:t>
      </w:r>
      <w:r w:rsidRPr="00AC50FA">
        <w:rPr>
          <w:i/>
          <w:iCs/>
        </w:rPr>
        <w:t>Fontes Pannoniae Antiquae ab AD CLX usque ad AD CXCII. Az antik Pannonia forrásai Kr. u. 166-tól Kr. u. 192-ig</w:t>
      </w:r>
      <w:r w:rsidRPr="00AC50FA">
        <w:t>. Budapest, 2006.</w:t>
      </w:r>
    </w:p>
    <w:p w14:paraId="752E93CA" w14:textId="77777777" w:rsidR="00F172BC" w:rsidRPr="00AC50FA" w:rsidRDefault="00F172BC" w:rsidP="00AD2333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AC50FA">
        <w:t xml:space="preserve">Kovács Péter: </w:t>
      </w:r>
      <w:r w:rsidRPr="00AC50FA">
        <w:rPr>
          <w:i/>
          <w:iCs/>
        </w:rPr>
        <w:t>A History of Pannonia During the Principate</w:t>
      </w:r>
      <w:r w:rsidRPr="00AC50FA">
        <w:t>. Bonn, 2014, 113-161</w:t>
      </w:r>
    </w:p>
    <w:p w14:paraId="16E89A62" w14:textId="77777777" w:rsidR="00F172BC" w:rsidRPr="00AC50FA" w:rsidRDefault="00F172BC" w:rsidP="001F40F3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AC50FA">
        <w:t xml:space="preserve">Mócsy András – Fitz Jenő – Lőrincz Barnabás (Szerk.): </w:t>
      </w:r>
      <w:r w:rsidRPr="00AC50FA">
        <w:rPr>
          <w:i/>
          <w:iCs/>
        </w:rPr>
        <w:t>Pannónia régészeti kézikönyve</w:t>
      </w:r>
      <w:r w:rsidRPr="00AC50FA">
        <w:t>. Budapest, 1990.</w:t>
      </w:r>
    </w:p>
    <w:p w14:paraId="74775EAA" w14:textId="77777777" w:rsidR="00F172BC" w:rsidRPr="00AC50FA" w:rsidRDefault="00F172BC" w:rsidP="00AD2333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AC50FA">
        <w:t xml:space="preserve">Mócsy András: </w:t>
      </w:r>
      <w:r w:rsidRPr="006C58A0">
        <w:rPr>
          <w:i/>
          <w:iCs/>
        </w:rPr>
        <w:t>Pannonia a késői császárkorban</w:t>
      </w:r>
      <w:r w:rsidRPr="00AC50FA">
        <w:t>. Budapest, 1974, 7-25.</w:t>
      </w:r>
    </w:p>
    <w:p w14:paraId="6250FE40" w14:textId="0AB4AAD7" w:rsidR="00DE1AC3" w:rsidRPr="00AC50FA" w:rsidRDefault="006E38E9" w:rsidP="004679DD">
      <w:pPr>
        <w:jc w:val="right"/>
      </w:pPr>
      <w:r w:rsidRPr="00AC50FA">
        <w:t>Berecz Gábor</w:t>
      </w:r>
    </w:p>
    <w:p w14:paraId="4F2EF651" w14:textId="0609BCAD" w:rsidR="009D4F66" w:rsidRPr="00AC50FA" w:rsidRDefault="006E38E9" w:rsidP="004679DD">
      <w:pPr>
        <w:jc w:val="right"/>
      </w:pPr>
      <w:r w:rsidRPr="00AC50FA">
        <w:t>egyetemi tanársegéd</w:t>
      </w:r>
    </w:p>
    <w:sectPr w:rsidR="009D4F66" w:rsidRPr="00AC50FA" w:rsidSect="00FD64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48" w:space="24" w:color="004735"/>
        <w:left w:val="single" w:sz="48" w:space="24" w:color="004735"/>
        <w:bottom w:val="single" w:sz="48" w:space="24" w:color="004735"/>
        <w:right w:val="single" w:sz="48" w:space="24" w:color="00473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11E9" w14:textId="77777777" w:rsidR="004608FB" w:rsidRDefault="004608FB" w:rsidP="00967CC3">
      <w:r>
        <w:separator/>
      </w:r>
    </w:p>
  </w:endnote>
  <w:endnote w:type="continuationSeparator" w:id="0">
    <w:p w14:paraId="600933EB" w14:textId="77777777" w:rsidR="004608FB" w:rsidRDefault="004608FB" w:rsidP="0096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9B27" w14:textId="77777777" w:rsidR="00967CC3" w:rsidRDefault="00967CC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F9D8" w14:textId="77777777" w:rsidR="00967CC3" w:rsidRDefault="00967CC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E8A0" w14:textId="77777777" w:rsidR="00967CC3" w:rsidRDefault="00967C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0930" w14:textId="77777777" w:rsidR="004608FB" w:rsidRDefault="004608FB" w:rsidP="00967CC3">
      <w:r>
        <w:separator/>
      </w:r>
    </w:p>
  </w:footnote>
  <w:footnote w:type="continuationSeparator" w:id="0">
    <w:p w14:paraId="07EB3BD8" w14:textId="77777777" w:rsidR="004608FB" w:rsidRDefault="004608FB" w:rsidP="0096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1CF2" w14:textId="00221F2B" w:rsidR="00967CC3" w:rsidRDefault="00000000">
    <w:pPr>
      <w:pStyle w:val="lfej"/>
    </w:pPr>
    <w:r>
      <w:rPr>
        <w:noProof/>
      </w:rPr>
      <w:pict w14:anchorId="381258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07907" o:spid="_x0000_s1026" type="#_x0000_t75" style="position:absolute;margin-left:0;margin-top:0;width:311.8pt;height:311.6pt;z-index:-251657216;mso-position-horizontal:center;mso-position-horizontal-relative:margin;mso-position-vertical:center;mso-position-vertical-relative:margin" o:allowincell="f">
          <v:imagedata r:id="rId1" o:title="ud-also-hun-vilagoshatter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7BB0" w14:textId="32DA73A8" w:rsidR="00967CC3" w:rsidRDefault="00000000">
    <w:pPr>
      <w:pStyle w:val="lfej"/>
    </w:pPr>
    <w:r>
      <w:rPr>
        <w:noProof/>
      </w:rPr>
      <w:pict w14:anchorId="0193C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07908" o:spid="_x0000_s1027" type="#_x0000_t75" style="position:absolute;margin-left:0;margin-top:0;width:311.8pt;height:311.6pt;z-index:-251656192;mso-position-horizontal:center;mso-position-horizontal-relative:margin;mso-position-vertical:center;mso-position-vertical-relative:margin" o:allowincell="f">
          <v:imagedata r:id="rId1" o:title="ud-also-hun-vilagoshatter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9325" w14:textId="566E137F" w:rsidR="00967CC3" w:rsidRDefault="00000000">
    <w:pPr>
      <w:pStyle w:val="lfej"/>
    </w:pPr>
    <w:r>
      <w:rPr>
        <w:noProof/>
      </w:rPr>
      <w:pict w14:anchorId="57EED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07906" o:spid="_x0000_s1025" type="#_x0000_t75" style="position:absolute;margin-left:0;margin-top:0;width:311.8pt;height:311.6pt;z-index:-251658240;mso-position-horizontal:center;mso-position-horizontal-relative:margin;mso-position-vertical:center;mso-position-vertical-relative:margin" o:allowincell="f">
          <v:imagedata r:id="rId1" o:title="ud-also-hun-vilagoshatter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21D"/>
    <w:multiLevelType w:val="singleLevel"/>
    <w:tmpl w:val="FA02D6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126EB9"/>
    <w:multiLevelType w:val="singleLevel"/>
    <w:tmpl w:val="08DEA69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27DA1"/>
    <w:multiLevelType w:val="hybridMultilevel"/>
    <w:tmpl w:val="AFCCBBD0"/>
    <w:lvl w:ilvl="0" w:tplc="A4B2E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84398"/>
    <w:multiLevelType w:val="hybridMultilevel"/>
    <w:tmpl w:val="128849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20D30"/>
    <w:multiLevelType w:val="hybridMultilevel"/>
    <w:tmpl w:val="0568C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93DC7"/>
    <w:multiLevelType w:val="hybridMultilevel"/>
    <w:tmpl w:val="FE2EF476"/>
    <w:lvl w:ilvl="0" w:tplc="2D22E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D5FFB"/>
    <w:multiLevelType w:val="hybridMultilevel"/>
    <w:tmpl w:val="B5B8ED72"/>
    <w:lvl w:ilvl="0" w:tplc="7D10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95EEB"/>
    <w:multiLevelType w:val="hybridMultilevel"/>
    <w:tmpl w:val="315E5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C5062"/>
    <w:multiLevelType w:val="hybridMultilevel"/>
    <w:tmpl w:val="27565D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D06"/>
    <w:multiLevelType w:val="hybridMultilevel"/>
    <w:tmpl w:val="3D4E447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44D69"/>
    <w:multiLevelType w:val="singleLevel"/>
    <w:tmpl w:val="08DEA6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E4F1F6C"/>
    <w:multiLevelType w:val="singleLevel"/>
    <w:tmpl w:val="FA02D6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975D3E"/>
    <w:multiLevelType w:val="hybridMultilevel"/>
    <w:tmpl w:val="FC12C58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F345B"/>
    <w:multiLevelType w:val="hybridMultilevel"/>
    <w:tmpl w:val="D3E491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34858"/>
    <w:multiLevelType w:val="hybridMultilevel"/>
    <w:tmpl w:val="F330143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7222D"/>
    <w:multiLevelType w:val="singleLevel"/>
    <w:tmpl w:val="08DEA69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315E0A"/>
    <w:multiLevelType w:val="singleLevel"/>
    <w:tmpl w:val="8608473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</w:abstractNum>
  <w:abstractNum w:abstractNumId="17" w15:restartNumberingAfterBreak="0">
    <w:nsid w:val="52817463"/>
    <w:multiLevelType w:val="hybridMultilevel"/>
    <w:tmpl w:val="83725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9015A"/>
    <w:multiLevelType w:val="hybridMultilevel"/>
    <w:tmpl w:val="FA4003A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3B27"/>
    <w:multiLevelType w:val="singleLevel"/>
    <w:tmpl w:val="FA02D6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9BA5E56"/>
    <w:multiLevelType w:val="singleLevel"/>
    <w:tmpl w:val="08DEA69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0F6619A"/>
    <w:multiLevelType w:val="hybridMultilevel"/>
    <w:tmpl w:val="2B0496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85B4E"/>
    <w:multiLevelType w:val="hybridMultilevel"/>
    <w:tmpl w:val="189C627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3020035">
    <w:abstractNumId w:val="5"/>
  </w:num>
  <w:num w:numId="2" w16cid:durableId="687171441">
    <w:abstractNumId w:val="18"/>
  </w:num>
  <w:num w:numId="3" w16cid:durableId="568461308">
    <w:abstractNumId w:val="22"/>
  </w:num>
  <w:num w:numId="4" w16cid:durableId="907346243">
    <w:abstractNumId w:val="9"/>
  </w:num>
  <w:num w:numId="5" w16cid:durableId="879168993">
    <w:abstractNumId w:val="14"/>
  </w:num>
  <w:num w:numId="6" w16cid:durableId="1651638818">
    <w:abstractNumId w:val="12"/>
  </w:num>
  <w:num w:numId="7" w16cid:durableId="1373845524">
    <w:abstractNumId w:val="6"/>
  </w:num>
  <w:num w:numId="8" w16cid:durableId="991524883">
    <w:abstractNumId w:val="16"/>
  </w:num>
  <w:num w:numId="9" w16cid:durableId="208880753">
    <w:abstractNumId w:val="15"/>
  </w:num>
  <w:num w:numId="10" w16cid:durableId="925767951">
    <w:abstractNumId w:val="19"/>
  </w:num>
  <w:num w:numId="11" w16cid:durableId="1289552033">
    <w:abstractNumId w:val="0"/>
  </w:num>
  <w:num w:numId="12" w16cid:durableId="828054929">
    <w:abstractNumId w:val="11"/>
  </w:num>
  <w:num w:numId="13" w16cid:durableId="217711507">
    <w:abstractNumId w:val="1"/>
  </w:num>
  <w:num w:numId="14" w16cid:durableId="2060592286">
    <w:abstractNumId w:val="10"/>
  </w:num>
  <w:num w:numId="15" w16cid:durableId="763494562">
    <w:abstractNumId w:val="20"/>
  </w:num>
  <w:num w:numId="16" w16cid:durableId="1053315317">
    <w:abstractNumId w:val="3"/>
  </w:num>
  <w:num w:numId="17" w16cid:durableId="1939941924">
    <w:abstractNumId w:val="21"/>
  </w:num>
  <w:num w:numId="18" w16cid:durableId="316998761">
    <w:abstractNumId w:val="13"/>
  </w:num>
  <w:num w:numId="19" w16cid:durableId="1190873466">
    <w:abstractNumId w:val="4"/>
  </w:num>
  <w:num w:numId="20" w16cid:durableId="1236235610">
    <w:abstractNumId w:val="17"/>
  </w:num>
  <w:num w:numId="21" w16cid:durableId="1961760943">
    <w:abstractNumId w:val="8"/>
  </w:num>
  <w:num w:numId="22" w16cid:durableId="629553522">
    <w:abstractNumId w:val="2"/>
  </w:num>
  <w:num w:numId="23" w16cid:durableId="1760128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C3"/>
    <w:rsid w:val="00003532"/>
    <w:rsid w:val="00004409"/>
    <w:rsid w:val="0001150E"/>
    <w:rsid w:val="0003227B"/>
    <w:rsid w:val="000333A3"/>
    <w:rsid w:val="0004685D"/>
    <w:rsid w:val="00051890"/>
    <w:rsid w:val="00056A60"/>
    <w:rsid w:val="0006579F"/>
    <w:rsid w:val="000702D9"/>
    <w:rsid w:val="000751DB"/>
    <w:rsid w:val="00077414"/>
    <w:rsid w:val="000B5F29"/>
    <w:rsid w:val="000B6D83"/>
    <w:rsid w:val="000D48F0"/>
    <w:rsid w:val="000E11DC"/>
    <w:rsid w:val="000E1FED"/>
    <w:rsid w:val="00107C0C"/>
    <w:rsid w:val="00130495"/>
    <w:rsid w:val="00140A93"/>
    <w:rsid w:val="001510E7"/>
    <w:rsid w:val="00154635"/>
    <w:rsid w:val="00155272"/>
    <w:rsid w:val="00165981"/>
    <w:rsid w:val="00171F8C"/>
    <w:rsid w:val="00175205"/>
    <w:rsid w:val="00194BD7"/>
    <w:rsid w:val="001A1EB3"/>
    <w:rsid w:val="001A4B3A"/>
    <w:rsid w:val="001B6BC7"/>
    <w:rsid w:val="001C3252"/>
    <w:rsid w:val="001C4B68"/>
    <w:rsid w:val="001C68AC"/>
    <w:rsid w:val="001D60B8"/>
    <w:rsid w:val="001F40F3"/>
    <w:rsid w:val="002018A8"/>
    <w:rsid w:val="002022C4"/>
    <w:rsid w:val="00223C23"/>
    <w:rsid w:val="00250FBA"/>
    <w:rsid w:val="00255F6C"/>
    <w:rsid w:val="00262C2F"/>
    <w:rsid w:val="002726F9"/>
    <w:rsid w:val="002A262A"/>
    <w:rsid w:val="002A2D99"/>
    <w:rsid w:val="002B537D"/>
    <w:rsid w:val="002C5485"/>
    <w:rsid w:val="002C6977"/>
    <w:rsid w:val="002C70CC"/>
    <w:rsid w:val="002D6814"/>
    <w:rsid w:val="00302CD8"/>
    <w:rsid w:val="00384491"/>
    <w:rsid w:val="00385E9F"/>
    <w:rsid w:val="00395C92"/>
    <w:rsid w:val="003A55DA"/>
    <w:rsid w:val="003C1C5B"/>
    <w:rsid w:val="003C229F"/>
    <w:rsid w:val="003C3416"/>
    <w:rsid w:val="003C505D"/>
    <w:rsid w:val="003F412C"/>
    <w:rsid w:val="004003A9"/>
    <w:rsid w:val="0040195C"/>
    <w:rsid w:val="0040202F"/>
    <w:rsid w:val="0041364F"/>
    <w:rsid w:val="004235ED"/>
    <w:rsid w:val="00424963"/>
    <w:rsid w:val="00426F73"/>
    <w:rsid w:val="00447F54"/>
    <w:rsid w:val="004608FB"/>
    <w:rsid w:val="004679DD"/>
    <w:rsid w:val="00470F5A"/>
    <w:rsid w:val="00482517"/>
    <w:rsid w:val="00484767"/>
    <w:rsid w:val="00490D4C"/>
    <w:rsid w:val="004923EB"/>
    <w:rsid w:val="00497F7D"/>
    <w:rsid w:val="004A08AA"/>
    <w:rsid w:val="004B773D"/>
    <w:rsid w:val="004C1C7C"/>
    <w:rsid w:val="004D5256"/>
    <w:rsid w:val="004E629F"/>
    <w:rsid w:val="00507AB5"/>
    <w:rsid w:val="00517E71"/>
    <w:rsid w:val="0053137C"/>
    <w:rsid w:val="00531721"/>
    <w:rsid w:val="00536549"/>
    <w:rsid w:val="00541E57"/>
    <w:rsid w:val="00541EA1"/>
    <w:rsid w:val="0054594B"/>
    <w:rsid w:val="00562A97"/>
    <w:rsid w:val="0056412B"/>
    <w:rsid w:val="005804B7"/>
    <w:rsid w:val="00584B47"/>
    <w:rsid w:val="00593358"/>
    <w:rsid w:val="005A5542"/>
    <w:rsid w:val="005A5A9D"/>
    <w:rsid w:val="005B5773"/>
    <w:rsid w:val="005F10E2"/>
    <w:rsid w:val="00600043"/>
    <w:rsid w:val="00605930"/>
    <w:rsid w:val="00607983"/>
    <w:rsid w:val="00622B2B"/>
    <w:rsid w:val="00626289"/>
    <w:rsid w:val="006370C1"/>
    <w:rsid w:val="00641920"/>
    <w:rsid w:val="0064572E"/>
    <w:rsid w:val="0064607F"/>
    <w:rsid w:val="00672FE9"/>
    <w:rsid w:val="00676367"/>
    <w:rsid w:val="006865D0"/>
    <w:rsid w:val="00691EE5"/>
    <w:rsid w:val="006B6E94"/>
    <w:rsid w:val="006C58A0"/>
    <w:rsid w:val="006C5AB6"/>
    <w:rsid w:val="006D59A9"/>
    <w:rsid w:val="006E38E9"/>
    <w:rsid w:val="006E4FE7"/>
    <w:rsid w:val="006F2A56"/>
    <w:rsid w:val="006F4D4A"/>
    <w:rsid w:val="00704775"/>
    <w:rsid w:val="00704AD1"/>
    <w:rsid w:val="0070602C"/>
    <w:rsid w:val="00711AAE"/>
    <w:rsid w:val="00720252"/>
    <w:rsid w:val="0072465C"/>
    <w:rsid w:val="007273E7"/>
    <w:rsid w:val="00730936"/>
    <w:rsid w:val="00744853"/>
    <w:rsid w:val="00745EFE"/>
    <w:rsid w:val="007527C1"/>
    <w:rsid w:val="007556D7"/>
    <w:rsid w:val="007571AC"/>
    <w:rsid w:val="00761726"/>
    <w:rsid w:val="00774211"/>
    <w:rsid w:val="007A5673"/>
    <w:rsid w:val="007B2AC6"/>
    <w:rsid w:val="007B6978"/>
    <w:rsid w:val="007B72DC"/>
    <w:rsid w:val="007D1405"/>
    <w:rsid w:val="007E6610"/>
    <w:rsid w:val="007F61FA"/>
    <w:rsid w:val="007F72B5"/>
    <w:rsid w:val="00807513"/>
    <w:rsid w:val="0080780D"/>
    <w:rsid w:val="00807DE1"/>
    <w:rsid w:val="008261AB"/>
    <w:rsid w:val="008347C7"/>
    <w:rsid w:val="00853FFF"/>
    <w:rsid w:val="00864A8E"/>
    <w:rsid w:val="00871137"/>
    <w:rsid w:val="00890BAC"/>
    <w:rsid w:val="008A4090"/>
    <w:rsid w:val="008B0699"/>
    <w:rsid w:val="008B3C83"/>
    <w:rsid w:val="008B4B86"/>
    <w:rsid w:val="008B5C59"/>
    <w:rsid w:val="008B6915"/>
    <w:rsid w:val="008D48E3"/>
    <w:rsid w:val="008E09C4"/>
    <w:rsid w:val="008E4A6F"/>
    <w:rsid w:val="00900276"/>
    <w:rsid w:val="0091473B"/>
    <w:rsid w:val="00922E0D"/>
    <w:rsid w:val="009344D9"/>
    <w:rsid w:val="00935F2B"/>
    <w:rsid w:val="0094775C"/>
    <w:rsid w:val="009649B0"/>
    <w:rsid w:val="00967CC3"/>
    <w:rsid w:val="00972340"/>
    <w:rsid w:val="00975E89"/>
    <w:rsid w:val="00976E29"/>
    <w:rsid w:val="00990E0E"/>
    <w:rsid w:val="009A747D"/>
    <w:rsid w:val="009B4878"/>
    <w:rsid w:val="009C1B68"/>
    <w:rsid w:val="009D4F66"/>
    <w:rsid w:val="009E1A1C"/>
    <w:rsid w:val="009E3983"/>
    <w:rsid w:val="009E39DA"/>
    <w:rsid w:val="009E4B9C"/>
    <w:rsid w:val="009E642B"/>
    <w:rsid w:val="009F2450"/>
    <w:rsid w:val="009F2C08"/>
    <w:rsid w:val="009F7708"/>
    <w:rsid w:val="00A159A9"/>
    <w:rsid w:val="00A16FEA"/>
    <w:rsid w:val="00A33A71"/>
    <w:rsid w:val="00A53AB1"/>
    <w:rsid w:val="00A679F8"/>
    <w:rsid w:val="00A70F28"/>
    <w:rsid w:val="00A81B3A"/>
    <w:rsid w:val="00A923D3"/>
    <w:rsid w:val="00A93757"/>
    <w:rsid w:val="00AA11B6"/>
    <w:rsid w:val="00AA5B29"/>
    <w:rsid w:val="00AB77E6"/>
    <w:rsid w:val="00AC50FA"/>
    <w:rsid w:val="00AD2333"/>
    <w:rsid w:val="00AD6806"/>
    <w:rsid w:val="00AF7C7A"/>
    <w:rsid w:val="00B02B10"/>
    <w:rsid w:val="00B16AAD"/>
    <w:rsid w:val="00B22589"/>
    <w:rsid w:val="00B2295D"/>
    <w:rsid w:val="00B45E5C"/>
    <w:rsid w:val="00B50792"/>
    <w:rsid w:val="00B534D7"/>
    <w:rsid w:val="00B6604B"/>
    <w:rsid w:val="00B70EC2"/>
    <w:rsid w:val="00B7241A"/>
    <w:rsid w:val="00B93D30"/>
    <w:rsid w:val="00B93D72"/>
    <w:rsid w:val="00B94E50"/>
    <w:rsid w:val="00BA4150"/>
    <w:rsid w:val="00BB2C8C"/>
    <w:rsid w:val="00BB54E4"/>
    <w:rsid w:val="00BC3D36"/>
    <w:rsid w:val="00BF71BA"/>
    <w:rsid w:val="00C00C02"/>
    <w:rsid w:val="00C05903"/>
    <w:rsid w:val="00C06BFE"/>
    <w:rsid w:val="00C07EA0"/>
    <w:rsid w:val="00C30577"/>
    <w:rsid w:val="00C34F63"/>
    <w:rsid w:val="00C35A13"/>
    <w:rsid w:val="00C40E38"/>
    <w:rsid w:val="00C655C8"/>
    <w:rsid w:val="00C835F7"/>
    <w:rsid w:val="00C961D3"/>
    <w:rsid w:val="00C96256"/>
    <w:rsid w:val="00C96B22"/>
    <w:rsid w:val="00CC19C6"/>
    <w:rsid w:val="00CC410E"/>
    <w:rsid w:val="00CD65B1"/>
    <w:rsid w:val="00D04383"/>
    <w:rsid w:val="00D62C68"/>
    <w:rsid w:val="00D64531"/>
    <w:rsid w:val="00D72277"/>
    <w:rsid w:val="00D74E99"/>
    <w:rsid w:val="00D7755F"/>
    <w:rsid w:val="00D77A96"/>
    <w:rsid w:val="00D9190B"/>
    <w:rsid w:val="00D93090"/>
    <w:rsid w:val="00DB490D"/>
    <w:rsid w:val="00DC273B"/>
    <w:rsid w:val="00DC3049"/>
    <w:rsid w:val="00DE1AC3"/>
    <w:rsid w:val="00DE2956"/>
    <w:rsid w:val="00DF486B"/>
    <w:rsid w:val="00E02C12"/>
    <w:rsid w:val="00E225BD"/>
    <w:rsid w:val="00E310E3"/>
    <w:rsid w:val="00E42CC0"/>
    <w:rsid w:val="00E46A64"/>
    <w:rsid w:val="00E511AF"/>
    <w:rsid w:val="00E53187"/>
    <w:rsid w:val="00E945C2"/>
    <w:rsid w:val="00E97AA0"/>
    <w:rsid w:val="00EA14C0"/>
    <w:rsid w:val="00EC2328"/>
    <w:rsid w:val="00ED09BE"/>
    <w:rsid w:val="00EE0B40"/>
    <w:rsid w:val="00EF0F06"/>
    <w:rsid w:val="00EF2563"/>
    <w:rsid w:val="00EF6DCC"/>
    <w:rsid w:val="00F07279"/>
    <w:rsid w:val="00F13A1F"/>
    <w:rsid w:val="00F15F65"/>
    <w:rsid w:val="00F16036"/>
    <w:rsid w:val="00F172BC"/>
    <w:rsid w:val="00F23049"/>
    <w:rsid w:val="00F24192"/>
    <w:rsid w:val="00F30590"/>
    <w:rsid w:val="00F305E9"/>
    <w:rsid w:val="00F531A1"/>
    <w:rsid w:val="00F603C6"/>
    <w:rsid w:val="00F662BE"/>
    <w:rsid w:val="00F87455"/>
    <w:rsid w:val="00FB4B9C"/>
    <w:rsid w:val="00FD2CB5"/>
    <w:rsid w:val="00FD5C0F"/>
    <w:rsid w:val="00FD64A7"/>
    <w:rsid w:val="00FD6DB3"/>
    <w:rsid w:val="00FF075A"/>
    <w:rsid w:val="00FF6300"/>
    <w:rsid w:val="00FF68DB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0BA3"/>
  <w15:chartTrackingRefBased/>
  <w15:docId w15:val="{28C59882-68C7-4C4B-81AF-1BA72C45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AC3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E1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1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1A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1A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1A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1A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1A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1A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1A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E1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1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1A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1A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1A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1A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1A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1A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1AC3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1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1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1A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1A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1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1A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1AC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1AC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1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1AC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1AC3"/>
    <w:rPr>
      <w:b/>
      <w:bCs/>
      <w:smallCaps/>
      <w:color w:val="0F4761" w:themeColor="accent1" w:themeShade="BF"/>
      <w:spacing w:val="5"/>
    </w:rPr>
  </w:style>
  <w:style w:type="paragraph" w:styleId="Szvegtrzs2">
    <w:name w:val="Body Text 2"/>
    <w:basedOn w:val="Norml"/>
    <w:link w:val="Szvegtrzs2Char"/>
    <w:rsid w:val="00DE1AC3"/>
    <w:pPr>
      <w:tabs>
        <w:tab w:val="left" w:pos="5103"/>
      </w:tabs>
    </w:pPr>
  </w:style>
  <w:style w:type="character" w:customStyle="1" w:styleId="Szvegtrzs2Char">
    <w:name w:val="Szövegtörzs 2 Char"/>
    <w:basedOn w:val="Bekezdsalapbettpusa"/>
    <w:link w:val="Szvegtrzs2"/>
    <w:rsid w:val="00DE1AC3"/>
    <w:rPr>
      <w:rFonts w:eastAsia="Times New Roman" w:cs="Times New Roman"/>
      <w:szCs w:val="24"/>
      <w:lang w:eastAsia="hu-HU"/>
    </w:rPr>
  </w:style>
  <w:style w:type="character" w:styleId="Hiperhivatkozs">
    <w:name w:val="Hyperlink"/>
    <w:rsid w:val="00DE1AC3"/>
    <w:rPr>
      <w:color w:val="0000FF"/>
      <w:u w:val="single"/>
    </w:rPr>
  </w:style>
  <w:style w:type="character" w:customStyle="1" w:styleId="st">
    <w:name w:val="st"/>
    <w:basedOn w:val="Bekezdsalapbettpusa"/>
    <w:rsid w:val="00DE1AC3"/>
  </w:style>
  <w:style w:type="character" w:styleId="Kiemels">
    <w:name w:val="Emphasis"/>
    <w:qFormat/>
    <w:rsid w:val="00DE1AC3"/>
    <w:rPr>
      <w:i/>
      <w:iCs/>
    </w:rPr>
  </w:style>
  <w:style w:type="paragraph" w:styleId="Nincstrkz">
    <w:name w:val="No Spacing"/>
    <w:uiPriority w:val="1"/>
    <w:qFormat/>
    <w:rsid w:val="00DE1AC3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8261AB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967C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7CC3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67C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67CC3"/>
    <w:rPr>
      <w:rFonts w:eastAsia="Times New Roman" w:cs="Times New Roman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34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k.oszk.hu/08700/08784/html/filozofia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erecz.gabor@arts.unideb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EDU_NDHX_5129@sulid.hu</dc:creator>
  <cp:keywords/>
  <dc:description/>
  <cp:lastModifiedBy>EDU_NDHX_5129@sulid.hu</cp:lastModifiedBy>
  <cp:revision>35</cp:revision>
  <dcterms:created xsi:type="dcterms:W3CDTF">2026-01-17T13:49:00Z</dcterms:created>
  <dcterms:modified xsi:type="dcterms:W3CDTF">2026-01-30T08:14:00Z</dcterms:modified>
</cp:coreProperties>
</file>