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7E" w:rsidRPr="00A516A9" w:rsidRDefault="000D657E" w:rsidP="00A516A9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smallCaps/>
          <w:color w:val="003300"/>
        </w:rPr>
      </w:pPr>
      <w:r w:rsidRPr="00A516A9">
        <w:rPr>
          <w:rFonts w:ascii="DINPro-Medium" w:eastAsia="Times New Roman" w:hAnsi="DINPro-Medium" w:cs="Times New Roman"/>
          <w:b/>
          <w:smallCaps/>
          <w:color w:val="003300"/>
        </w:rPr>
        <w:t>A záróvizsga szabályai nemzetközi tanulmányok BA szakon</w:t>
      </w:r>
    </w:p>
    <w:p w:rsidR="000D657E" w:rsidRPr="00A516A9" w:rsidRDefault="000D657E" w:rsidP="00A5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657E" w:rsidRPr="00A516A9" w:rsidRDefault="000D657E" w:rsidP="00A516A9">
      <w:pPr>
        <w:tabs>
          <w:tab w:val="left" w:pos="2595"/>
        </w:tabs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  <w:r w:rsidRPr="00A516A9">
        <w:rPr>
          <w:rFonts w:ascii="DINPro-Regular" w:eastAsia="Times New Roman" w:hAnsi="DINPro-Regular" w:cs="Times New Roman"/>
          <w:color w:val="000000" w:themeColor="text1"/>
        </w:rPr>
        <w:t xml:space="preserve">A záróvizsga két részből áll: a 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>záró</w:t>
      </w:r>
      <w:r w:rsidRPr="00A516A9">
        <w:rPr>
          <w:rFonts w:ascii="DINPro-Regular" w:eastAsia="Times New Roman" w:hAnsi="DINPro-Regular" w:cs="Times New Roman"/>
          <w:color w:val="000000" w:themeColor="text1"/>
        </w:rPr>
        <w:t>dolgozat záróvizsga bizottság előtt történő szóbeli megvédéséből, valamint egy szóbeli részből.</w:t>
      </w:r>
    </w:p>
    <w:p w:rsidR="000D657E" w:rsidRPr="00A516A9" w:rsidRDefault="000D657E" w:rsidP="00A516A9">
      <w:pPr>
        <w:tabs>
          <w:tab w:val="left" w:pos="2595"/>
        </w:tabs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  <w:r w:rsidRPr="00A516A9">
        <w:rPr>
          <w:rFonts w:ascii="DINPro-Regular" w:eastAsia="Times New Roman" w:hAnsi="DINPro-Regular" w:cs="Times New Roman"/>
          <w:color w:val="000000" w:themeColor="text1"/>
        </w:rPr>
        <w:t xml:space="preserve">A szóbeli 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 xml:space="preserve">rész </w:t>
      </w:r>
      <w:r w:rsidRPr="00A516A9">
        <w:rPr>
          <w:rFonts w:ascii="DINPro-Regular" w:eastAsia="Times New Roman" w:hAnsi="DINPro-Regular" w:cs="Times New Roman"/>
          <w:color w:val="000000" w:themeColor="text1"/>
        </w:rPr>
        <w:t>előre megadott tételek alapján törté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>nő, két tételt felölelő felelet a záróvizsga- bizottság előtt.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</w:rPr>
      </w:pPr>
      <w:r w:rsidRPr="00A516A9">
        <w:rPr>
          <w:rFonts w:ascii="DINPro-Regular" w:eastAsia="Times New Roman" w:hAnsi="DINPro-Regular" w:cs="Times New Roman"/>
        </w:rPr>
        <w:t>A záróvizsga jegyét az alábbi részjegyek számtani átlaga adja: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</w:rPr>
      </w:pPr>
      <w:proofErr w:type="gramStart"/>
      <w:r w:rsidRPr="00A516A9">
        <w:rPr>
          <w:rFonts w:ascii="DINPro-Regular" w:eastAsia="Times New Roman" w:hAnsi="DINPro-Regular" w:cs="Times New Roman"/>
        </w:rPr>
        <w:t>a</w:t>
      </w:r>
      <w:proofErr w:type="gramEnd"/>
      <w:r w:rsidRPr="00A516A9">
        <w:rPr>
          <w:rFonts w:ascii="DINPro-Regular" w:eastAsia="Times New Roman" w:hAnsi="DINPro-Regular" w:cs="Times New Roman"/>
        </w:rPr>
        <w:t xml:space="preserve">) </w:t>
      </w:r>
      <w:proofErr w:type="spellStart"/>
      <w:r w:rsidRPr="00A516A9">
        <w:rPr>
          <w:rFonts w:ascii="DINPro-Regular" w:eastAsia="Times New Roman" w:hAnsi="DINPro-Regular" w:cs="Times New Roman"/>
        </w:rPr>
        <w:t>a</w:t>
      </w:r>
      <w:proofErr w:type="spellEnd"/>
      <w:r w:rsidRPr="00A516A9">
        <w:rPr>
          <w:rFonts w:ascii="DINPro-Regular" w:eastAsia="Times New Roman" w:hAnsi="DINPro-Regular" w:cs="Times New Roman"/>
        </w:rPr>
        <w:t xml:space="preserve"> </w:t>
      </w:r>
      <w:proofErr w:type="spellStart"/>
      <w:r w:rsidRPr="00A516A9">
        <w:rPr>
          <w:rFonts w:ascii="DINPro-Regular" w:eastAsia="Times New Roman" w:hAnsi="DINPro-Regular" w:cs="Times New Roman"/>
        </w:rPr>
        <w:t>záródolgozat</w:t>
      </w:r>
      <w:proofErr w:type="spellEnd"/>
      <w:r w:rsidRPr="00A516A9">
        <w:rPr>
          <w:rFonts w:ascii="DINPro-Regular" w:eastAsia="Times New Roman" w:hAnsi="DINPro-Regular" w:cs="Times New Roman"/>
        </w:rPr>
        <w:t xml:space="preserve"> szóbeli védésének jegye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  <w:r w:rsidRPr="00A516A9">
        <w:rPr>
          <w:rFonts w:ascii="DINPro-Regular" w:eastAsia="Times New Roman" w:hAnsi="DINPro-Regular" w:cs="Times New Roman"/>
          <w:color w:val="000000" w:themeColor="text1"/>
        </w:rPr>
        <w:t>c) a két szóbeli tétel egy-egy jegye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</w:rPr>
      </w:pPr>
      <w:r w:rsidRPr="00A516A9">
        <w:rPr>
          <w:rFonts w:ascii="DINPro-Regular" w:eastAsia="Times New Roman" w:hAnsi="DINPro-Regular" w:cs="Times New Roman"/>
        </w:rPr>
        <w:t>Ha a záróvizsgán bármelyik részjegy elégtelen, akkor a záróvizsga jegye is elégtelen.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</w:rPr>
      </w:pPr>
      <w:r w:rsidRPr="00A516A9">
        <w:rPr>
          <w:rFonts w:ascii="DINPro-Regular" w:eastAsia="Times New Roman" w:hAnsi="DINPro-Regular" w:cs="Times New Roman"/>
        </w:rPr>
        <w:t>A záróvizsga-bizottság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  <w:r w:rsidRPr="00A516A9">
        <w:rPr>
          <w:rFonts w:ascii="DINPro-Regular" w:eastAsia="Times New Roman" w:hAnsi="DINPro-Regular" w:cs="Times New Roman"/>
          <w:color w:val="000000" w:themeColor="text1"/>
        </w:rPr>
        <w:t>A záróvizsga bizott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>ság elnöke a BTK vezető oktatója;</w:t>
      </w:r>
      <w:r w:rsidR="0002060F">
        <w:rPr>
          <w:rFonts w:ascii="DINPro-Regular" w:eastAsia="Times New Roman" w:hAnsi="DINPro-Regular" w:cs="Times New Roman"/>
          <w:color w:val="000000" w:themeColor="text1"/>
        </w:rPr>
        <w:t xml:space="preserve"> a bizottság tagja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>:</w:t>
      </w:r>
      <w:r w:rsidRPr="00A516A9">
        <w:rPr>
          <w:rFonts w:ascii="DINPro-Regular" w:eastAsia="Times New Roman" w:hAnsi="DINPro-Regular" w:cs="Times New Roman"/>
          <w:color w:val="000000" w:themeColor="text1"/>
        </w:rPr>
        <w:t xml:space="preserve"> </w:t>
      </w:r>
      <w:r w:rsidR="0002060F">
        <w:rPr>
          <w:rFonts w:ascii="DINPro-Regular" w:eastAsia="Times New Roman" w:hAnsi="DINPro-Regular" w:cs="Times New Roman"/>
          <w:color w:val="000000" w:themeColor="text1"/>
        </w:rPr>
        <w:t xml:space="preserve">egy oktató a BTK, a bizottság külső tagja: egy oktató </w:t>
      </w:r>
      <w:r w:rsidR="00BA2D4A" w:rsidRPr="00A516A9">
        <w:rPr>
          <w:rFonts w:ascii="DINPro-Regular" w:eastAsia="Times New Roman" w:hAnsi="DINPro-Regular" w:cs="Times New Roman"/>
          <w:color w:val="000000" w:themeColor="text1"/>
        </w:rPr>
        <w:t xml:space="preserve">GTK/ÁJK </w:t>
      </w:r>
      <w:r w:rsidR="0002060F">
        <w:rPr>
          <w:rFonts w:ascii="DINPro-Regular" w:eastAsia="Times New Roman" w:hAnsi="DINPro-Regular" w:cs="Times New Roman"/>
          <w:color w:val="000000" w:themeColor="text1"/>
        </w:rPr>
        <w:t>képviseletében</w:t>
      </w:r>
      <w:r w:rsidRPr="00A516A9">
        <w:rPr>
          <w:rFonts w:ascii="DINPro-Regular" w:eastAsia="Times New Roman" w:hAnsi="DINPro-Regular" w:cs="Times New Roman"/>
          <w:color w:val="000000" w:themeColor="text1"/>
        </w:rPr>
        <w:t xml:space="preserve">. </w:t>
      </w:r>
      <w:bookmarkStart w:id="0" w:name="_GoBack"/>
      <w:bookmarkEnd w:id="0"/>
      <w:r w:rsidRPr="00A516A9">
        <w:rPr>
          <w:rFonts w:ascii="DINPro-Regular" w:eastAsia="Times New Roman" w:hAnsi="DINPro-Regular" w:cs="Times New Roman"/>
          <w:color w:val="000000" w:themeColor="text1"/>
        </w:rPr>
        <w:t>A záróvizsga-bizottság tagjai közösen állapítják meg a záróvizsga érdemjegyét. A záróvizsga nyilvános.</w:t>
      </w:r>
    </w:p>
    <w:p w:rsidR="000D657E" w:rsidRPr="00A516A9" w:rsidRDefault="00200FFF" w:rsidP="00A516A9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  <w:r w:rsidRPr="00A516A9">
        <w:rPr>
          <w:rFonts w:ascii="DINPro-Regular" w:eastAsia="Times New Roman" w:hAnsi="DINPro-Regular" w:cs="Times New Roman"/>
          <w:color w:val="000000" w:themeColor="text1"/>
        </w:rPr>
        <w:t xml:space="preserve">Az alább megadott záróvizsga témaköröket két nagyobb csoportra bontottuk. </w:t>
      </w:r>
      <w:r w:rsidR="00EE449C">
        <w:rPr>
          <w:rFonts w:ascii="DINPro-Regular" w:eastAsia="Times New Roman" w:hAnsi="DINPro-Regular" w:cs="Times New Roman"/>
          <w:color w:val="000000" w:themeColor="text1"/>
        </w:rPr>
        <w:t xml:space="preserve">Mindkét csoportból 1-1 témakört kell választani. A záróvizsgán a hallgató a választott témakörökhöz tartozó tételekből felel. A témakörválasztást a tavaszi félévben záróvizsgázó hallgatók április 10-ig, az őszi félévben záróvizsgázó hallgatók október 20-ig kötelesek eljuttatni </w:t>
      </w:r>
      <w:proofErr w:type="spellStart"/>
      <w:r w:rsidR="00EE449C">
        <w:rPr>
          <w:rFonts w:ascii="DINPro-Regular" w:eastAsia="Times New Roman" w:hAnsi="DINPro-Regular" w:cs="Times New Roman"/>
          <w:color w:val="000000" w:themeColor="text1"/>
        </w:rPr>
        <w:t>Ónadi</w:t>
      </w:r>
      <w:proofErr w:type="spellEnd"/>
      <w:r w:rsidR="00EE449C">
        <w:rPr>
          <w:rFonts w:ascii="DINPro-Regular" w:eastAsia="Times New Roman" w:hAnsi="DINPro-Regular" w:cs="Times New Roman"/>
          <w:color w:val="000000" w:themeColor="text1"/>
        </w:rPr>
        <w:t xml:space="preserve"> Sándor oktatásszervezőhöz az </w:t>
      </w:r>
      <w:hyperlink r:id="rId5" w:history="1">
        <w:r w:rsidR="00EE449C" w:rsidRPr="00F45A41">
          <w:rPr>
            <w:rStyle w:val="Hiperhivatkozs"/>
            <w:rFonts w:ascii="DINPro-Regular" w:eastAsia="Times New Roman" w:hAnsi="DINPro-Regular" w:cs="Times New Roman"/>
          </w:rPr>
          <w:t>onadi.sandor@arts.unideb.hu</w:t>
        </w:r>
      </w:hyperlink>
      <w:r w:rsidR="00EE449C">
        <w:rPr>
          <w:rFonts w:ascii="DINPro-Regular" w:eastAsia="Times New Roman" w:hAnsi="DINPro-Regular" w:cs="Times New Roman"/>
          <w:color w:val="000000" w:themeColor="text1"/>
        </w:rPr>
        <w:t xml:space="preserve"> címre. </w:t>
      </w:r>
    </w:p>
    <w:p w:rsidR="000D657E" w:rsidRPr="00A516A9" w:rsidRDefault="000D657E" w:rsidP="00A516A9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 w:themeColor="text1"/>
        </w:rPr>
      </w:pPr>
    </w:p>
    <w:p w:rsidR="00C17BAF" w:rsidRDefault="00306AF2" w:rsidP="00C17BAF">
      <w:pPr>
        <w:spacing w:after="0" w:line="240" w:lineRule="auto"/>
        <w:jc w:val="both"/>
        <w:rPr>
          <w:rFonts w:ascii="DINPro-Regular" w:eastAsia="Times New Roman" w:hAnsi="DINPro-Regular" w:cs="Times New Roman"/>
          <w:b/>
        </w:rPr>
      </w:pPr>
      <w:r w:rsidRPr="00A516A9">
        <w:rPr>
          <w:rFonts w:ascii="DINPro-Regular" w:eastAsia="Times New Roman" w:hAnsi="DINPro-Regular" w:cs="Times New Roman"/>
          <w:b/>
        </w:rPr>
        <w:t>A záróvizsga s</w:t>
      </w:r>
      <w:r w:rsidR="000D657E" w:rsidRPr="00A516A9">
        <w:rPr>
          <w:rFonts w:ascii="DINPro-Regular" w:eastAsia="Times New Roman" w:hAnsi="DINPro-Regular" w:cs="Times New Roman"/>
          <w:b/>
        </w:rPr>
        <w:t>zóbeli témakör</w:t>
      </w:r>
      <w:r w:rsidRPr="00A516A9">
        <w:rPr>
          <w:rFonts w:ascii="DINPro-Regular" w:eastAsia="Times New Roman" w:hAnsi="DINPro-Regular" w:cs="Times New Roman"/>
          <w:b/>
        </w:rPr>
        <w:t>ei és tétele</w:t>
      </w:r>
    </w:p>
    <w:p w:rsidR="00C17BAF" w:rsidRPr="00C17BAF" w:rsidRDefault="00C17BAF" w:rsidP="00C17BAF">
      <w:pPr>
        <w:spacing w:after="0" w:line="240" w:lineRule="auto"/>
        <w:jc w:val="both"/>
        <w:rPr>
          <w:rFonts w:ascii="DINPro-Regular" w:eastAsia="Times New Roman" w:hAnsi="DINPro-Regular" w:cs="Times New Roman"/>
          <w:b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438"/>
        <w:gridCol w:w="11556"/>
      </w:tblGrid>
      <w:tr w:rsidR="003D75E1" w:rsidRPr="002D75F4" w:rsidTr="003D75E1">
        <w:trPr>
          <w:jc w:val="center"/>
        </w:trPr>
        <w:tc>
          <w:tcPr>
            <w:tcW w:w="5000" w:type="pct"/>
            <w:gridSpan w:val="2"/>
            <w:shd w:val="clear" w:color="auto" w:fill="FFAB0D"/>
          </w:tcPr>
          <w:p w:rsidR="003D75E1" w:rsidRPr="002D75F4" w:rsidRDefault="003D75E1" w:rsidP="003D75E1">
            <w:pPr>
              <w:ind w:left="-250"/>
              <w:jc w:val="center"/>
              <w:rPr>
                <w:rFonts w:ascii="DINPro-Medium" w:hAnsi="DINPro-Medium" w:cs="Times New Roman"/>
                <w:b/>
                <w:bCs/>
                <w:smallCaps/>
                <w:color w:val="003300"/>
                <w:sz w:val="28"/>
              </w:rPr>
            </w:pPr>
            <w:r w:rsidRPr="002D75F4">
              <w:rPr>
                <w:rFonts w:ascii="DINPro-Medium" w:hAnsi="DINPro-Medium" w:cs="Times New Roman"/>
                <w:b/>
                <w:bCs/>
                <w:smallCaps/>
                <w:color w:val="003300"/>
                <w:sz w:val="28"/>
              </w:rPr>
              <w:t>I. csoport</w:t>
            </w:r>
          </w:p>
        </w:tc>
      </w:tr>
      <w:tr w:rsidR="003D75E1" w:rsidRPr="002D75F4" w:rsidTr="003D75E1">
        <w:trPr>
          <w:jc w:val="center"/>
        </w:trPr>
        <w:tc>
          <w:tcPr>
            <w:tcW w:w="929" w:type="pct"/>
            <w:shd w:val="clear" w:color="auto" w:fill="F8F8F8"/>
          </w:tcPr>
          <w:p w:rsidR="00200FFF" w:rsidRPr="002D75F4" w:rsidRDefault="00200FFF" w:rsidP="003D75E1">
            <w:pPr>
              <w:ind w:right="-7"/>
              <w:jc w:val="center"/>
              <w:rPr>
                <w:rFonts w:ascii="DINPro-Medium" w:hAnsi="DINPro-Medium" w:cs="Times New Roman"/>
                <w:smallCaps/>
                <w:color w:val="003300"/>
                <w:sz w:val="28"/>
              </w:rPr>
            </w:pPr>
            <w:r w:rsidRPr="002D75F4">
              <w:rPr>
                <w:rFonts w:ascii="DINPro-Medium" w:hAnsi="DINPro-Medium" w:cs="Times New Roman"/>
                <w:smallCaps/>
                <w:color w:val="003300"/>
                <w:sz w:val="28"/>
              </w:rPr>
              <w:t>Témakörök</w:t>
            </w:r>
          </w:p>
        </w:tc>
        <w:tc>
          <w:tcPr>
            <w:tcW w:w="4071" w:type="pct"/>
            <w:shd w:val="clear" w:color="auto" w:fill="F8F8F8"/>
          </w:tcPr>
          <w:p w:rsidR="00200FFF" w:rsidRPr="002D75F4" w:rsidRDefault="00200FFF" w:rsidP="00A516A9">
            <w:pPr>
              <w:jc w:val="center"/>
              <w:rPr>
                <w:rFonts w:ascii="DINPro-Medium" w:hAnsi="DINPro-Medium" w:cs="Times New Roman"/>
                <w:bCs/>
                <w:smallCaps/>
                <w:color w:val="003300"/>
                <w:sz w:val="28"/>
              </w:rPr>
            </w:pPr>
            <w:r w:rsidRPr="002D75F4">
              <w:rPr>
                <w:rFonts w:ascii="DINPro-Medium" w:hAnsi="DINPro-Medium" w:cs="Times New Roman"/>
                <w:bCs/>
                <w:smallCaps/>
                <w:color w:val="003300"/>
                <w:sz w:val="28"/>
              </w:rPr>
              <w:t>Tételek És irodalom</w:t>
            </w:r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t>Az EU intézményrendszere és döntéshozatala</w:t>
            </w:r>
          </w:p>
        </w:tc>
        <w:tc>
          <w:tcPr>
            <w:tcW w:w="4071" w:type="pct"/>
          </w:tcPr>
          <w:p w:rsidR="002D75F4" w:rsidRPr="002D75F4" w:rsidRDefault="002D75F4" w:rsidP="002D75F4">
            <w:pPr>
              <w:pStyle w:val="Szvegtrzs"/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</w:p>
          <w:p w:rsidR="002D75F4" w:rsidRPr="002D75F4" w:rsidRDefault="002D75F4" w:rsidP="002D75F4">
            <w:pPr>
              <w:pStyle w:val="Szvegtrzs"/>
              <w:numPr>
                <w:ilvl w:val="0"/>
                <w:numId w:val="8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Döntéshozatali mechanizmus az Európai Unióban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8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Az Európai Parlament felépítése és politikai szerepe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8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Mutassa be a Bizottság szerepét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8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Az Európai Bíróság szerepe és funkciója az Unióban</w:t>
            </w:r>
          </w:p>
          <w:p w:rsidR="002D75F4" w:rsidRPr="002D75F4" w:rsidRDefault="002D75F4" w:rsidP="002D75F4">
            <w:pPr>
              <w:pStyle w:val="Szvegtrzs"/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</w:p>
          <w:p w:rsidR="002D75F4" w:rsidRPr="002D75F4" w:rsidRDefault="002D75F4" w:rsidP="002D75F4">
            <w:pPr>
              <w:pStyle w:val="Szvegtrzs"/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Szaki</w:t>
            </w:r>
            <w:r w:rsidR="003D75E1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rodalom 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15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Az Európai Unió politikai rendszere. Szerkesztette: Arató Krisztina, Koller Boglárka. Dialóg Campus, Budapest, 2019. (Különösen ajánlott)</w:t>
            </w:r>
          </w:p>
          <w:p w:rsidR="002D75F4" w:rsidRPr="002D75F4" w:rsidRDefault="0002060F" w:rsidP="003D75E1">
            <w:pPr>
              <w:pStyle w:val="Szvegtrzs"/>
              <w:spacing w:after="0"/>
              <w:ind w:left="72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hyperlink r:id="rId6">
              <w:r w:rsidR="002D75F4"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https://nkerepo.uni-nke.hu/xmlui/bitstream/handle/123456789/14718/728_ATMA_Az_Europai_Unio_politikai_rendszere_PDF.pdf</w:t>
              </w:r>
            </w:hyperlink>
            <w:r w:rsidR="002D75F4"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15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Európai Unió portálja az intézményekről</w:t>
            </w:r>
          </w:p>
          <w:p w:rsidR="002D75F4" w:rsidRPr="002D75F4" w:rsidRDefault="0002060F" w:rsidP="003D75E1">
            <w:pPr>
              <w:pStyle w:val="Szvegtrzs"/>
              <w:spacing w:after="0"/>
              <w:ind w:left="72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hyperlink r:id="rId7">
              <w:r w:rsidR="002D75F4"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https://european-union.europa.eu/institutions-law-budget/institutions-and-bodies/types-institutions-and-bodies_hu</w:t>
              </w:r>
            </w:hyperlink>
            <w:r w:rsidR="002D75F4"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  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15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Az Európai Unió közjogi alapjai </w:t>
            </w:r>
          </w:p>
          <w:p w:rsidR="002D75F4" w:rsidRPr="002D75F4" w:rsidRDefault="0002060F" w:rsidP="003D75E1">
            <w:pPr>
              <w:pStyle w:val="Szvegtrzs"/>
              <w:spacing w:after="0"/>
              <w:ind w:left="72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hyperlink r:id="rId8">
              <w:r w:rsidR="002D75F4"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https://antk.uni-nke.hu/document/akk-copy-uni-nke-hu/az-eu-intezmenyei.original.pdf</w:t>
              </w:r>
            </w:hyperlink>
            <w:r w:rsidR="002D75F4"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15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Boros László: Az EU intézményi és döntéshozatali rendszere. ELTE Eötvös Kiadó, Budapest, 2012.</w:t>
            </w:r>
          </w:p>
          <w:p w:rsidR="002D75F4" w:rsidRPr="003D75E1" w:rsidRDefault="0002060F" w:rsidP="003D75E1">
            <w:pPr>
              <w:pStyle w:val="Szvegtrzs"/>
              <w:spacing w:after="0"/>
              <w:ind w:left="72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hyperlink r:id="rId9">
              <w:r w:rsidR="002D75F4"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https://www.eltereader.hu/media/2014/04/AZ_EU_intezmenyi_es_donteshozatali_rendszere.pdf</w:t>
              </w:r>
            </w:hyperlink>
            <w:r w:rsidR="002D75F4"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>Az Európai Unió joga és szakpolitikák</w:t>
            </w:r>
          </w:p>
        </w:tc>
        <w:tc>
          <w:tcPr>
            <w:tcW w:w="4071" w:type="pct"/>
          </w:tcPr>
          <w:p w:rsidR="002D75F4" w:rsidRPr="002D75F4" w:rsidRDefault="002D75F4" w:rsidP="002D75F4">
            <w:p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</w:p>
          <w:p w:rsidR="002D75F4" w:rsidRPr="002D75F4" w:rsidRDefault="002D75F4" w:rsidP="002D75F4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Az Európai Unió kialakulása (integrációtörténet) </w:t>
            </w:r>
          </w:p>
          <w:p w:rsidR="002D75F4" w:rsidRPr="002D75F4" w:rsidRDefault="002D75F4" w:rsidP="002D75F4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Az Európai Unió joga (elsődleges, másodlagos uniós jog; uniós jog közvetlen hatálya, közvetett hatály, elsőbbség elve) 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hAnsi="DINPro-Regular" w:cs="Times New Roman"/>
              </w:rPr>
              <w:t>Mutassa be az Európai Unió főbb szakpolitikáit, valamint az egységes belső piac és a négy alapszabadság megvalósítására vonatkozó legfontosabb intézkedéseit</w:t>
            </w:r>
          </w:p>
          <w:p w:rsidR="002D75F4" w:rsidRPr="002D75F4" w:rsidRDefault="002D75F4" w:rsidP="002D75F4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  <w:highlight w:val="white"/>
              </w:rPr>
            </w:pPr>
          </w:p>
          <w:p w:rsidR="002D75F4" w:rsidRPr="002D75F4" w:rsidRDefault="002D75F4" w:rsidP="002D75F4">
            <w:p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Várnay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 Ernő – Papp Mónika: Az Európai Unió joga,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Wolters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Kluwer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, Budapest, 2016. 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Gombos Katalin: Az Európai Unió joga,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Patrocinium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, Budapest, 2017. 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Bóka János: Az Európai Unió intézményrendszere, Dialóg Campus, Budapest, 2019. 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Gombos Katalin: Európai jog – az Európai Unió jogrendszere,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Wolters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Kluwer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, Budapest, 2019. 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Horváth Zoltán (2011): Kézikönyv az Európai Unióról. 8. kiadás, </w:t>
            </w:r>
            <w:proofErr w:type="spellStart"/>
            <w:r w:rsidRPr="002D75F4">
              <w:rPr>
                <w:rFonts w:ascii="DINPro-Regular" w:hAnsi="DINPro-Regular" w:cs="Times New Roman"/>
              </w:rPr>
              <w:t>HVG-Orac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Kiadó, Budapest, p. 684. ISBN 978 963 258 129 3 (a könyvből a fenti témákat lefedő fejezetek)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Kengyel Ákos (2020) (szerk.): Az Európai uniós politikák. Akadémiai Kiadó, Budapest, ISBN 978 963 454 542 2 Online elérhető: </w:t>
            </w:r>
            <w:hyperlink r:id="rId10" w:history="1">
              <w:r w:rsidRPr="002D75F4">
                <w:rPr>
                  <w:rStyle w:val="Hiperhivatkozs"/>
                  <w:rFonts w:ascii="DINPro-Regular" w:hAnsi="DINPro-Regular" w:cs="Times New Roman"/>
                </w:rPr>
                <w:t>https://mersz.hu/kengyel-europai-unios-politikak/</w:t>
              </w:r>
            </w:hyperlink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Marján Attila (szerk.): Az Európai Unió gazdasága: minden, amit az EU gazdasági és pénzügyi politikáiról tudni kell. </w:t>
            </w:r>
            <w:proofErr w:type="gramStart"/>
            <w:r w:rsidRPr="002D75F4">
              <w:rPr>
                <w:rFonts w:ascii="DINPro-Regular" w:hAnsi="DINPro-Regular" w:cs="Times New Roman"/>
              </w:rPr>
              <w:t>Budapest :</w:t>
            </w:r>
            <w:proofErr w:type="gramEnd"/>
            <w:r w:rsidRPr="002D75F4">
              <w:rPr>
                <w:rFonts w:ascii="DINPro-Regular" w:hAnsi="DINPro-Regular" w:cs="Times New Roman"/>
              </w:rPr>
              <w:t xml:space="preserve"> HVG, 2005</w:t>
            </w:r>
          </w:p>
          <w:p w:rsidR="002D75F4" w:rsidRPr="003D75E1" w:rsidRDefault="002D75F4" w:rsidP="002D75F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Moldicz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Csaba (2012): A változó Európai Unió-Válságról válságra. </w:t>
            </w:r>
            <w:proofErr w:type="spellStart"/>
            <w:r w:rsidRPr="002D75F4">
              <w:rPr>
                <w:rFonts w:ascii="DINPro-Regular" w:hAnsi="DINPro-Regular" w:cs="Times New Roman"/>
              </w:rPr>
              <w:t>Typotex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Kiadó. p.210. ISBN: 978-963-2796-72-7</w:t>
            </w:r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t>Diplomáciai fordulatok a nemzetközi integráció történetében</w:t>
            </w:r>
          </w:p>
        </w:tc>
        <w:tc>
          <w:tcPr>
            <w:tcW w:w="4071" w:type="pct"/>
          </w:tcPr>
          <w:p w:rsidR="002D75F4" w:rsidRPr="002D75F4" w:rsidRDefault="002D75F4" w:rsidP="002D75F4">
            <w:pPr>
              <w:pStyle w:val="Szvegtrzs"/>
              <w:spacing w:after="0"/>
              <w:jc w:val="both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</w:p>
          <w:p w:rsidR="002D75F4" w:rsidRPr="002D75F4" w:rsidRDefault="002D75F4" w:rsidP="002D75F4">
            <w:pPr>
              <w:pStyle w:val="Szvegtrzs"/>
              <w:widowControl w:val="0"/>
              <w:numPr>
                <w:ilvl w:val="1"/>
                <w:numId w:val="12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3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egységgondolat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gyökerei,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nemzetközi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jog</w:t>
            </w:r>
            <w:r w:rsidRPr="002D75F4">
              <w:rPr>
                <w:rFonts w:ascii="DINPro-Regular" w:hAnsi="DINPro-Regular" w:cs="Times New Roman"/>
                <w:spacing w:val="3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kialakulásának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kezdetei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7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nemzetközi</w:t>
            </w:r>
            <w:r w:rsidRPr="002D75F4">
              <w:rPr>
                <w:rFonts w:ascii="DINPro-Regular" w:hAnsi="DINPro-Regular" w:cs="Times New Roman"/>
                <w:spacing w:val="-1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jog</w:t>
            </w:r>
            <w:r w:rsidRPr="002D75F4">
              <w:rPr>
                <w:rFonts w:ascii="DINPro-Regular" w:hAnsi="DINPro-Regular" w:cs="Times New Roman"/>
                <w:spacing w:val="-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tudománytörténete.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Az</w:t>
            </w:r>
            <w:r w:rsidRPr="002D75F4">
              <w:rPr>
                <w:rFonts w:ascii="DINPro-Regular" w:hAnsi="DINPro-Regular" w:cs="Times New Roman"/>
                <w:spacing w:val="4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integráció</w:t>
            </w:r>
            <w:r w:rsidRPr="002D75F4">
              <w:rPr>
                <w:rFonts w:ascii="DINPro-Regular" w:hAnsi="DINPro-Regular" w:cs="Times New Roman"/>
                <w:spacing w:val="4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fogalma,</w:t>
            </w:r>
            <w:r w:rsidRPr="002D75F4">
              <w:rPr>
                <w:rFonts w:ascii="DINPro-Regular" w:hAnsi="DINPro-Regular" w:cs="Times New Roman"/>
                <w:spacing w:val="4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elméleti</w:t>
            </w:r>
            <w:r w:rsidRPr="002D75F4">
              <w:rPr>
                <w:rFonts w:ascii="DINPro-Regular" w:hAnsi="DINPro-Regular" w:cs="Times New Roman"/>
                <w:spacing w:val="4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megközelítések.</w:t>
            </w:r>
            <w:r w:rsidRPr="002D75F4">
              <w:rPr>
                <w:rFonts w:ascii="DINPro-Regular" w:hAnsi="DINPro-Regular" w:cs="Times New Roman"/>
                <w:spacing w:val="4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4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</w:t>
            </w:r>
            <w:r w:rsidRPr="002D75F4">
              <w:rPr>
                <w:rFonts w:ascii="DINPro-Regular" w:hAnsi="DINPro-Regular" w:cs="Times New Roman"/>
                <w:spacing w:val="4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elnevezés</w:t>
            </w:r>
            <w:r w:rsidRPr="002D75F4">
              <w:rPr>
                <w:rFonts w:ascii="DINPro-Regular" w:hAnsi="DINPro-Regular" w:cs="Times New Roman"/>
                <w:spacing w:val="4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eredete,</w:t>
            </w:r>
            <w:r w:rsidRPr="002D75F4">
              <w:rPr>
                <w:rFonts w:ascii="DINPro-Regular" w:hAnsi="DINPro-Regular" w:cs="Times New Roman"/>
                <w:spacing w:val="4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4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69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civilizáció.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föderalista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államszervezési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alkotmányok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ember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polgár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jogainak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deklarációja.</w:t>
            </w:r>
            <w:r w:rsidRPr="002D75F4">
              <w:rPr>
                <w:rFonts w:ascii="DINPro-Regular" w:eastAsia="Times New Roman" w:hAnsi="DINPro-Regular" w:cs="Times New Roman"/>
                <w:spacing w:val="57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Erasmus</w:t>
            </w:r>
            <w:r w:rsidRPr="002D75F4">
              <w:rPr>
                <w:rFonts w:ascii="DINPro-Regular" w:hAnsi="DINPro-Regular" w:cs="Times New Roman"/>
                <w:spacing w:val="2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egységgondolata,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75F4">
              <w:rPr>
                <w:rFonts w:ascii="DINPro-Regular" w:hAnsi="DINPro-Regular" w:cs="Times New Roman"/>
                <w:sz w:val="22"/>
                <w:szCs w:val="22"/>
              </w:rPr>
              <w:t>Sully</w:t>
            </w:r>
            <w:proofErr w:type="spellEnd"/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2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„</w:t>
            </w:r>
            <w:proofErr w:type="gramEnd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nagy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terve”,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2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Saint-Pierre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alkotmány-terve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eastAsia="Times New Roman" w:hAnsi="DINPro-Regular" w:cs="Times New Roman"/>
                <w:spacing w:val="83"/>
                <w:w w:val="99"/>
                <w:sz w:val="22"/>
                <w:szCs w:val="22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sz w:val="22"/>
                <w:szCs w:val="22"/>
              </w:rPr>
              <w:t>W.Penn</w:t>
            </w:r>
            <w:proofErr w:type="spellEnd"/>
            <w:r w:rsidRPr="002D75F4">
              <w:rPr>
                <w:rFonts w:ascii="DINPro-Regular" w:hAnsi="DINPro-Regular" w:cs="Times New Roman"/>
                <w:spacing w:val="-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béketerve.</w:t>
            </w:r>
          </w:p>
          <w:p w:rsidR="002D75F4" w:rsidRPr="002D75F4" w:rsidRDefault="002D75F4" w:rsidP="002D75F4">
            <w:pPr>
              <w:pStyle w:val="Szvegtrzs"/>
              <w:widowControl w:val="0"/>
              <w:numPr>
                <w:ilvl w:val="0"/>
                <w:numId w:val="12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Az</w:t>
            </w:r>
            <w:r w:rsidRPr="002D75F4">
              <w:rPr>
                <w:rFonts w:ascii="DINPro-Regular" w:hAnsi="DINPro-Regular" w:cs="Times New Roman"/>
                <w:spacing w:val="46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I.</w:t>
            </w:r>
            <w:r w:rsidRPr="002D75F4">
              <w:rPr>
                <w:rFonts w:ascii="DINPro-Regular" w:hAnsi="DINPro-Regular" w:cs="Times New Roman"/>
                <w:spacing w:val="4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világháború</w:t>
            </w:r>
            <w:r w:rsidRPr="002D75F4">
              <w:rPr>
                <w:rFonts w:ascii="DINPro-Regular" w:hAnsi="DINPro-Regular" w:cs="Times New Roman"/>
                <w:spacing w:val="4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utáni</w:t>
            </w:r>
            <w:r w:rsidRPr="002D75F4">
              <w:rPr>
                <w:rFonts w:ascii="DINPro-Regular" w:hAnsi="DINPro-Regular" w:cs="Times New Roman"/>
                <w:spacing w:val="4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egyik</w:t>
            </w:r>
            <w:r w:rsidRPr="002D75F4">
              <w:rPr>
                <w:rFonts w:ascii="DINPro-Regular" w:hAnsi="DINPro-Regular" w:cs="Times New Roman"/>
                <w:spacing w:val="43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irányzat:</w:t>
            </w:r>
            <w:r w:rsidRPr="002D75F4">
              <w:rPr>
                <w:rFonts w:ascii="DINPro-Regular" w:hAnsi="DINPro-Regular" w:cs="Times New Roman"/>
                <w:spacing w:val="4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pesszimista</w:t>
            </w:r>
            <w:r w:rsidRPr="002D75F4">
              <w:rPr>
                <w:rFonts w:ascii="DINPro-Regular" w:hAnsi="DINPro-Regular" w:cs="Times New Roman"/>
                <w:spacing w:val="46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(Spengler,</w:t>
            </w:r>
            <w:r w:rsidRPr="002D75F4">
              <w:rPr>
                <w:rFonts w:ascii="DINPro-Regular" w:hAnsi="DINPro-Regular" w:cs="Times New Roman"/>
                <w:spacing w:val="4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Gide).</w:t>
            </w:r>
            <w:r w:rsidRPr="002D75F4">
              <w:rPr>
                <w:rFonts w:ascii="DINPro-Regular" w:hAnsi="DINPro-Regular" w:cs="Times New Roman"/>
                <w:spacing w:val="4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4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Nemzetek</w:t>
            </w:r>
            <w:r w:rsidRPr="002D75F4">
              <w:rPr>
                <w:rFonts w:ascii="DINPro-Regular" w:eastAsia="Times New Roman" w:hAnsi="DINPro-Regular" w:cs="Times New Roman"/>
                <w:spacing w:val="65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Szövetsége,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mint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politikai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pesszimizmus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egyik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bástyája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–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Wilson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14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pontja.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Az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I.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világháború</w:t>
            </w:r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utáni</w:t>
            </w:r>
            <w:r w:rsidRPr="002D75F4">
              <w:rPr>
                <w:rFonts w:ascii="DINPro-Regular" w:hAnsi="DINPro-Regular" w:cs="Times New Roman"/>
                <w:spacing w:val="1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másik</w:t>
            </w:r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irányzat: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optimista:</w:t>
            </w:r>
            <w:r w:rsidRPr="002D75F4">
              <w:rPr>
                <w:rFonts w:ascii="DINPro-Regular" w:hAnsi="DINPro-Regular" w:cs="Times New Roman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R</w:t>
            </w:r>
            <w:proofErr w:type="gram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.C.</w:t>
            </w:r>
            <w:proofErr w:type="gramEnd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Kalergi</w:t>
            </w:r>
            <w:proofErr w:type="spellEnd"/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Páneurópai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mozgalom,</w:t>
            </w:r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103"/>
                <w:sz w:val="22"/>
                <w:szCs w:val="22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Briand-terv</w:t>
            </w:r>
            <w:proofErr w:type="spellEnd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.</w:t>
            </w:r>
          </w:p>
          <w:p w:rsidR="002D75F4" w:rsidRPr="002D75F4" w:rsidRDefault="002D75F4" w:rsidP="002D75F4">
            <w:pPr>
              <w:pStyle w:val="Szvegtrzs"/>
              <w:widowControl w:val="0"/>
              <w:numPr>
                <w:ilvl w:val="0"/>
                <w:numId w:val="12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nemzetközi</w:t>
            </w:r>
            <w:r w:rsidRPr="002D75F4">
              <w:rPr>
                <w:rFonts w:ascii="DINPro-Regular" w:hAnsi="DINPro-Regular" w:cs="Times New Roman"/>
                <w:spacing w:val="-2"/>
                <w:sz w:val="22"/>
                <w:szCs w:val="22"/>
              </w:rPr>
              <w:t xml:space="preserve"> közösség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rendezőelvei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II.</w:t>
            </w:r>
            <w:r w:rsidRPr="002D75F4">
              <w:rPr>
                <w:rFonts w:ascii="DINPro-Regular" w:hAnsi="DINPro-Regular" w:cs="Times New Roman"/>
                <w:spacing w:val="-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világháború</w:t>
            </w:r>
            <w:r w:rsidRPr="002D75F4">
              <w:rPr>
                <w:rFonts w:ascii="DINPro-Regular" w:hAnsi="DINPro-Regular" w:cs="Times New Roman"/>
                <w:spacing w:val="-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után: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-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ENSZ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Alapokmánya</w:t>
            </w:r>
            <w:r w:rsidRPr="002D75F4">
              <w:rPr>
                <w:rFonts w:ascii="DINPro-Regular" w:hAnsi="DINPro-Regular" w:cs="Times New Roman"/>
                <w:spacing w:val="-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101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Emberi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Jogok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Egyetemes</w:t>
            </w:r>
            <w:r w:rsidRPr="002D75F4">
              <w:rPr>
                <w:rFonts w:ascii="DINPro-Regular" w:hAnsi="DINPro-Regular" w:cs="Times New Roman"/>
                <w:spacing w:val="5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Nyilatkozata.</w:t>
            </w:r>
            <w:r w:rsidRPr="002D75F4">
              <w:rPr>
                <w:rFonts w:ascii="DINPro-Regular" w:hAnsi="DINPro-Regular" w:cs="Times New Roman"/>
                <w:spacing w:val="5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Winston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Churchill</w:t>
            </w:r>
            <w:r w:rsidRPr="002D75F4">
              <w:rPr>
                <w:rFonts w:ascii="DINPro-Regular" w:hAnsi="DINPro-Regular" w:cs="Times New Roman"/>
                <w:spacing w:val="5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szerepe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5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5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egység</w:t>
            </w:r>
            <w:r w:rsidRPr="002D75F4">
              <w:rPr>
                <w:rFonts w:ascii="DINPro-Regular" w:hAnsi="DINPro-Regular" w:cs="Times New Roman"/>
                <w:spacing w:val="81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megteremtésében. George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C.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Marshall: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Újjáépítési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lastRenderedPageBreak/>
              <w:t>Program.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OEEC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OECD.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GATT</w:t>
            </w:r>
            <w:r w:rsidRPr="002D75F4">
              <w:rPr>
                <w:rFonts w:ascii="DINPro-Regular" w:hAnsi="DINPro-Regular" w:cs="Times New Roman"/>
                <w:spacing w:val="47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 xml:space="preserve">alapelvei.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Tanács</w:t>
            </w:r>
            <w:r w:rsidRPr="002D75F4">
              <w:rPr>
                <w:rFonts w:ascii="DINPro-Regular" w:hAnsi="DINPro-Regular" w:cs="Times New Roman"/>
                <w:spacing w:val="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megalakulása,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Emberi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Jogok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Egyezménye.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A</w:t>
            </w:r>
            <w:r w:rsidRPr="002D75F4">
              <w:rPr>
                <w:rFonts w:ascii="DINPro-Regular" w:hAnsi="DINPro-Regular" w:cs="Times New Roman"/>
                <w:spacing w:val="8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Schuman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terv:</w:t>
            </w:r>
            <w:r w:rsidRPr="002D75F4">
              <w:rPr>
                <w:rFonts w:ascii="DINPro-Regular" w:hAnsi="DINPro-Regular" w:cs="Times New Roman"/>
                <w:spacing w:val="7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a</w:t>
            </w:r>
            <w:r w:rsidRPr="002D75F4">
              <w:rPr>
                <w:rFonts w:ascii="DINPro-Regular" w:hAnsi="DINPro-Regular" w:cs="Times New Roman"/>
                <w:spacing w:val="7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modern</w:t>
            </w:r>
            <w:r w:rsidRPr="002D75F4">
              <w:rPr>
                <w:rFonts w:ascii="DINPro-Regular" w:hAnsi="DINPro-Regular" w:cs="Times New Roman"/>
                <w:spacing w:val="47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Európa</w:t>
            </w:r>
            <w:r w:rsidRPr="002D75F4">
              <w:rPr>
                <w:rFonts w:ascii="DINPro-Regular" w:hAnsi="DINPro-Regular" w:cs="Times New Roman"/>
                <w:spacing w:val="49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alapja</w:t>
            </w:r>
            <w:r w:rsidRPr="002D75F4">
              <w:rPr>
                <w:rFonts w:ascii="DINPro-Regular" w:hAnsi="DINPro-Regular" w:cs="Times New Roman"/>
                <w:spacing w:val="49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és</w:t>
            </w:r>
            <w:r w:rsidRPr="002D75F4">
              <w:rPr>
                <w:rFonts w:ascii="DINPro-Regular" w:hAnsi="DINPro-Regular" w:cs="Times New Roman"/>
                <w:spacing w:val="47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Jean</w:t>
            </w:r>
            <w:r w:rsidRPr="002D75F4">
              <w:rPr>
                <w:rFonts w:ascii="DINPro-Regular" w:hAnsi="DINPro-Regular" w:cs="Times New Roman"/>
                <w:spacing w:val="48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Monnet:</w:t>
            </w:r>
            <w:r w:rsidRPr="002D75F4">
              <w:rPr>
                <w:rFonts w:ascii="DINPro-Regular" w:hAnsi="DINPro-Regular" w:cs="Times New Roman"/>
                <w:spacing w:val="48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Európa</w:t>
            </w:r>
            <w:r w:rsidRPr="002D75F4">
              <w:rPr>
                <w:rFonts w:ascii="DINPro-Regular" w:hAnsi="DINPro-Regular" w:cs="Times New Roman"/>
                <w:spacing w:val="52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egységéről.</w:t>
            </w:r>
            <w:r w:rsidRPr="002D75F4">
              <w:rPr>
                <w:rFonts w:ascii="DINPro-Regular" w:hAnsi="DINPro-Regular" w:cs="Times New Roman"/>
                <w:spacing w:val="49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4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ESZAK,</w:t>
            </w:r>
            <w:r w:rsidRPr="002D75F4">
              <w:rPr>
                <w:rFonts w:ascii="DINPro-Regular" w:hAnsi="DINPro-Regular" w:cs="Times New Roman"/>
                <w:spacing w:val="4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4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EGK</w:t>
            </w:r>
            <w:r w:rsidRPr="002D75F4">
              <w:rPr>
                <w:rFonts w:ascii="DINPro-Regular" w:hAnsi="DINPro-Regular" w:cs="Times New Roman"/>
                <w:spacing w:val="4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4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49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Euratom.</w:t>
            </w:r>
          </w:p>
          <w:p w:rsidR="002D75F4" w:rsidRPr="002D75F4" w:rsidRDefault="002D75F4" w:rsidP="002D75F4">
            <w:pPr>
              <w:pStyle w:val="Szvegtrzs"/>
              <w:widowControl w:val="0"/>
              <w:tabs>
                <w:tab w:val="left" w:pos="361"/>
              </w:tabs>
              <w:spacing w:after="0"/>
              <w:ind w:left="360" w:right="108"/>
              <w:jc w:val="both"/>
              <w:rPr>
                <w:rFonts w:ascii="DINPro-Regular" w:hAnsi="DINPro-Regular" w:cs="Times New Roman"/>
                <w:b/>
                <w:sz w:val="22"/>
                <w:szCs w:val="22"/>
              </w:rPr>
            </w:pPr>
          </w:p>
          <w:p w:rsidR="002D75F4" w:rsidRPr="003D75E1" w:rsidRDefault="002D75F4" w:rsidP="003D75E1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z w:val="22"/>
                <w:szCs w:val="22"/>
              </w:rPr>
              <w:t>Képes</w:t>
            </w:r>
            <w:r w:rsidRPr="002D75F4">
              <w:rPr>
                <w:rFonts w:ascii="DINPro-Regular" w:hAnsi="DINPro-Regular" w:cs="Times New Roman"/>
                <w:spacing w:val="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György: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Az</w:t>
            </w:r>
            <w:r w:rsidRPr="002D75F4">
              <w:rPr>
                <w:rFonts w:ascii="DINPro-Regular" w:hAnsi="DINPro-Regular" w:cs="Times New Roman"/>
                <w:spacing w:val="1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amerikai</w:t>
            </w:r>
            <w:r w:rsidRPr="002D75F4">
              <w:rPr>
                <w:rFonts w:ascii="DINPro-Regular" w:hAnsi="DINPro-Regular" w:cs="Times New Roman"/>
                <w:spacing w:val="1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állammodell.</w:t>
            </w:r>
            <w:r w:rsidRPr="002D75F4">
              <w:rPr>
                <w:rFonts w:ascii="DINPro-Regular" w:hAnsi="DINPro-Regular" w:cs="Times New Roman"/>
                <w:spacing w:val="1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1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Egyesült</w:t>
            </w:r>
            <w:r w:rsidRPr="002D75F4">
              <w:rPr>
                <w:rFonts w:ascii="DINPro-Regular" w:hAnsi="DINPro-Regular" w:cs="Times New Roman"/>
                <w:spacing w:val="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Államok</w:t>
            </w:r>
            <w:r w:rsidRPr="002D75F4">
              <w:rPr>
                <w:rFonts w:ascii="DINPro-Regular" w:hAnsi="DINPro-Regular" w:cs="Times New Roman"/>
                <w:spacing w:val="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alkotmányának</w:t>
            </w:r>
            <w:r w:rsidRPr="002D75F4">
              <w:rPr>
                <w:rFonts w:ascii="DINPro-Regular" w:hAnsi="DINPro-Regular" w:cs="Times New Roman"/>
                <w:spacing w:val="1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alapelvei.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 xml:space="preserve"> Rubicon</w:t>
            </w:r>
            <w:r w:rsidRPr="002D75F4">
              <w:rPr>
                <w:rFonts w:ascii="DINPro-Regular" w:hAnsi="DINPro-Regular" w:cs="Times New Roman"/>
                <w:spacing w:val="-1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1997/8.</w:t>
            </w:r>
            <w:r w:rsidRPr="002D75F4">
              <w:rPr>
                <w:rFonts w:ascii="DINPro-Regular" w:hAnsi="DINPro-Regular" w:cs="Times New Roman"/>
                <w:spacing w:val="-1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38-44.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w w:val="95"/>
                <w:sz w:val="22"/>
                <w:szCs w:val="22"/>
                <w:lang w:val="fr-FR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Pálné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Dr.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Kovács</w:t>
            </w:r>
            <w:r w:rsidRPr="002D75F4">
              <w:rPr>
                <w:rFonts w:ascii="DINPro-Regular" w:hAnsi="DINPro-Regular" w:cs="Times New Roman"/>
                <w:spacing w:val="2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Ilona:</w:t>
            </w:r>
            <w:r w:rsidRPr="002D75F4">
              <w:rPr>
                <w:rFonts w:ascii="DINPro-Regular" w:hAnsi="DINPro-Regular" w:cs="Times New Roman"/>
                <w:spacing w:val="2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Svájci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föderalizmus,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hatalom</w:t>
            </w:r>
            <w:r w:rsidRPr="002D75F4">
              <w:rPr>
                <w:rFonts w:ascii="DINPro-Regular" w:hAnsi="DINPro-Regular" w:cs="Times New Roman"/>
                <w:spacing w:val="23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térbeli</w:t>
            </w:r>
            <w:r w:rsidRPr="002D75F4">
              <w:rPr>
                <w:rFonts w:ascii="DINPro-Regular" w:hAnsi="DINPro-Regular" w:cs="Times New Roman"/>
                <w:spacing w:val="2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megosztása</w:t>
            </w:r>
            <w:r w:rsidRPr="002D75F4">
              <w:rPr>
                <w:rFonts w:ascii="DINPro-Regular" w:hAnsi="DINPro-Regular" w:cs="Times New Roman"/>
                <w:spacing w:val="2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2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2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magyar</w:t>
            </w:r>
            <w:r w:rsidRPr="002D75F4">
              <w:rPr>
                <w:rFonts w:ascii="DINPro-Regular" w:hAnsi="DINPro-Regular" w:cs="Times New Roman"/>
                <w:spacing w:val="7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w w:val="95"/>
                <w:sz w:val="22"/>
                <w:szCs w:val="22"/>
              </w:rPr>
              <w:t>párhuzamok</w:t>
            </w:r>
            <w:proofErr w:type="gramStart"/>
            <w:r w:rsidRPr="002D75F4">
              <w:rPr>
                <w:rFonts w:ascii="DINPro-Regular" w:hAnsi="DINPro-Regular" w:cs="Times New Roman"/>
                <w:spacing w:val="-1"/>
                <w:w w:val="95"/>
                <w:sz w:val="22"/>
                <w:szCs w:val="22"/>
              </w:rPr>
              <w:t>.</w:t>
            </w:r>
            <w:r w:rsidRPr="002D75F4">
              <w:rPr>
                <w:rFonts w:ascii="DINPro-Regular" w:hAnsi="DINPro-Regular" w:cs="Times New Roman"/>
                <w:w w:val="95"/>
                <w:sz w:val="22"/>
                <w:szCs w:val="22"/>
              </w:rPr>
              <w:t xml:space="preserve">    </w:t>
            </w:r>
            <w:r w:rsidRPr="002D75F4">
              <w:rPr>
                <w:rFonts w:ascii="DINPro-Regular" w:hAnsi="DINPro-Regular" w:cs="Times New Roman"/>
                <w:spacing w:val="53"/>
                <w:w w:val="95"/>
                <w:sz w:val="22"/>
                <w:szCs w:val="22"/>
              </w:rPr>
              <w:t xml:space="preserve"> </w:t>
            </w:r>
            <w:hyperlink r:id="rId11">
              <w:r w:rsidRPr="002D75F4">
                <w:rPr>
                  <w:rFonts w:ascii="DINPro-Regular" w:hAnsi="DINPro-Regular" w:cs="Times New Roman"/>
                  <w:spacing w:val="-1"/>
                  <w:w w:val="95"/>
                  <w:sz w:val="22"/>
                  <w:szCs w:val="22"/>
                  <w:lang w:val="fr-FR"/>
                </w:rPr>
                <w:t>http</w:t>
              </w:r>
              <w:proofErr w:type="gramEnd"/>
              <w:r w:rsidRPr="002D75F4">
                <w:rPr>
                  <w:rFonts w:ascii="DINPro-Regular" w:hAnsi="DINPro-Regular" w:cs="Times New Roman"/>
                  <w:spacing w:val="-1"/>
                  <w:w w:val="95"/>
                  <w:sz w:val="22"/>
                  <w:szCs w:val="22"/>
                  <w:lang w:val="fr-FR"/>
                </w:rPr>
                <w:t>://isfd-tppa.rkk.hu/doc/palne_svajci_foderalizmus.pdf</w:t>
              </w:r>
            </w:hyperlink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Sahin-Tóth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Péter: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Sully</w:t>
            </w:r>
            <w:r w:rsidRPr="002D75F4">
              <w:rPr>
                <w:rFonts w:ascii="DINPro-Regular" w:hAnsi="DINPro-Regular" w:cs="Times New Roman"/>
                <w:spacing w:val="26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terve</w:t>
            </w:r>
            <w:r w:rsidRPr="002D75F4">
              <w:rPr>
                <w:rFonts w:ascii="DINPro-Regular" w:hAnsi="DINPro-Regular" w:cs="Times New Roman"/>
                <w:spacing w:val="2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Európa</w:t>
            </w:r>
            <w:r w:rsidRPr="002D75F4">
              <w:rPr>
                <w:rFonts w:ascii="DINPro-Regular" w:hAnsi="DINPro-Regular" w:cs="Times New Roman"/>
                <w:spacing w:val="26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újjárendezésére.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A</w:t>
            </w:r>
            <w:r w:rsidRPr="002D75F4">
              <w:rPr>
                <w:rFonts w:ascii="DINPro-Regular" w:hAnsi="DINPro-Regular" w:cs="Times New Roman"/>
                <w:spacing w:val="26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nagy</w:t>
            </w:r>
            <w:r w:rsidRPr="002D75F4">
              <w:rPr>
                <w:rFonts w:ascii="DINPro-Regular" w:hAnsi="DINPro-Regular" w:cs="Times New Roman"/>
                <w:spacing w:val="2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terv.</w:t>
            </w:r>
            <w:r w:rsidRPr="002D75F4">
              <w:rPr>
                <w:rFonts w:ascii="DINPro-Regular" w:hAnsi="DINPro-Regular" w:cs="Times New Roman"/>
                <w:spacing w:val="2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Rubicon,</w:t>
            </w:r>
            <w:r w:rsidRPr="002D75F4">
              <w:rPr>
                <w:rFonts w:ascii="DINPro-Regular" w:hAnsi="DINPro-Regular" w:cs="Times New Roman"/>
                <w:spacing w:val="25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1997/5-6.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30-34.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z w:val="22"/>
                <w:szCs w:val="22"/>
                <w:lang w:val="fr-FR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Rostoványi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Zsolt: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Európaiság,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európai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identitás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és</w:t>
            </w:r>
            <w:r w:rsidRPr="002D75F4">
              <w:rPr>
                <w:rFonts w:ascii="DINPro-Regular" w:hAnsi="DINPro-Regular" w:cs="Times New Roman"/>
                <w:spacing w:val="1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az</w:t>
            </w:r>
            <w:r w:rsidRPr="002D75F4">
              <w:rPr>
                <w:rFonts w:ascii="DINPro-Regular" w:hAnsi="DINPro-Regular" w:cs="Times New Roman"/>
                <w:spacing w:val="4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európai</w:t>
            </w:r>
            <w:r w:rsidRPr="002D75F4">
              <w:rPr>
                <w:rFonts w:ascii="DINPro-Regular" w:hAnsi="DINPro-Regular" w:cs="Times New Roman"/>
                <w:spacing w:val="2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integráció.</w:t>
            </w:r>
            <w:r w:rsidRPr="002D75F4">
              <w:rPr>
                <w:rFonts w:ascii="DINPro-Regular" w:hAnsi="DINPro-Regular" w:cs="Times New Roman"/>
                <w:spacing w:val="1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Európai</w:t>
            </w:r>
            <w:r w:rsidRPr="002D75F4">
              <w:rPr>
                <w:rFonts w:ascii="DINPro-Regular" w:hAnsi="DINPro-Regular" w:cs="Times New Roman"/>
                <w:spacing w:val="3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Szemle,</w:t>
            </w:r>
            <w:r w:rsidRPr="002D75F4">
              <w:rPr>
                <w:rFonts w:ascii="DINPro-Regular" w:hAnsi="DINPro-Regular" w:cs="Times New Roman"/>
                <w:spacing w:val="85"/>
                <w:w w:val="99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  <w:lang w:val="fr-FR"/>
              </w:rPr>
              <w:t>10.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évfolyam</w:t>
            </w:r>
            <w:r w:rsidRPr="002D75F4">
              <w:rPr>
                <w:rFonts w:ascii="DINPro-Regular" w:hAnsi="DINPro-Regular" w:cs="Times New Roman"/>
                <w:spacing w:val="-9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1999/4.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  <w:lang w:val="fr-FR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  <w:lang w:val="fr-FR"/>
              </w:rPr>
              <w:t>55-77.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J. Nagy László: Az európai integráció politikai története. Szeged, 2005.</w:t>
            </w:r>
          </w:p>
          <w:p w:rsidR="002D75F4" w:rsidRPr="002D75F4" w:rsidRDefault="0002060F" w:rsidP="002D75F4">
            <w:pPr>
              <w:pStyle w:val="Szvegtrzs"/>
              <w:numPr>
                <w:ilvl w:val="0"/>
                <w:numId w:val="23"/>
              </w:numPr>
              <w:spacing w:after="0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hyperlink r:id="rId12">
              <w:r w:rsidR="002D75F4"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https://publicatio.bibl.u-szeged.hu/3325/1/EUINTEGR.pdf</w:t>
              </w:r>
            </w:hyperlink>
            <w:hyperlink>
              <w:r w:rsidR="002D75F4" w:rsidRPr="002D75F4">
                <w:rPr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 xml:space="preserve"> </w:t>
              </w:r>
            </w:hyperlink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Glant</w:t>
            </w:r>
            <w:proofErr w:type="spellEnd"/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Tibor: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14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pont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története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mítosza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Külügyi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Szemle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2009/tél.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84-99.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Bóka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Éva: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Coudenhove</w:t>
            </w:r>
            <w:proofErr w:type="spellEnd"/>
            <w:r w:rsidRPr="002D75F4">
              <w:rPr>
                <w:rFonts w:ascii="DINPro-Regular" w:hAnsi="DINPro-Regular" w:cs="Times New Roman"/>
                <w:spacing w:val="1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–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Kalergi</w:t>
            </w:r>
            <w:proofErr w:type="spellEnd"/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föderalizmusa.</w:t>
            </w:r>
            <w:r w:rsidRPr="002D75F4">
              <w:rPr>
                <w:rFonts w:ascii="DINPro-Regular" w:hAnsi="DINPro-Regular" w:cs="Times New Roman"/>
                <w:spacing w:val="1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Szemle</w:t>
            </w:r>
            <w:r w:rsidRPr="002D75F4">
              <w:rPr>
                <w:rFonts w:ascii="DINPro-Regular" w:hAnsi="DINPro-Regular" w:cs="Times New Roman"/>
                <w:spacing w:val="1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16.</w:t>
            </w:r>
            <w:r w:rsidRPr="002D75F4">
              <w:rPr>
                <w:rFonts w:ascii="DINPro-Regular" w:hAnsi="DINPro-Regular" w:cs="Times New Roman"/>
                <w:spacing w:val="1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évfolyam</w:t>
            </w:r>
            <w:r w:rsidRPr="002D75F4">
              <w:rPr>
                <w:rFonts w:ascii="DINPro-Regular" w:hAnsi="DINPro-Regular" w:cs="Times New Roman"/>
                <w:spacing w:val="1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2005/4.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25-36.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Bóka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Éva: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föderalista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eszméje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háború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után.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Szemle,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2004/2. 89-102.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Bóka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Éva: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EU-modell</w:t>
            </w:r>
            <w:r w:rsidRPr="002D75F4">
              <w:rPr>
                <w:rFonts w:ascii="DINPro-Regular" w:hAnsi="DINPro-Regular" w:cs="Times New Roman"/>
                <w:spacing w:val="-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és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nemzetközi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kapcsolatok.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Tükör,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2009/5.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16-28.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proofErr w:type="spellStart"/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Magyarics</w:t>
            </w:r>
            <w:proofErr w:type="spellEnd"/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Tamás: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integráció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helye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magyar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külpolitikában.</w:t>
            </w:r>
            <w:r w:rsidRPr="002D75F4">
              <w:rPr>
                <w:rFonts w:ascii="DINPro-Regular" w:hAnsi="DINPro-Regular" w:cs="Times New Roman"/>
                <w:spacing w:val="-5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Tükör</w:t>
            </w:r>
            <w:r w:rsidRPr="002D75F4">
              <w:rPr>
                <w:rFonts w:ascii="DINPro-Regular" w:hAnsi="DINPro-Regular" w:cs="Times New Roman"/>
                <w:spacing w:val="-6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15.</w:t>
            </w:r>
            <w:r w:rsidRPr="002D75F4">
              <w:rPr>
                <w:rFonts w:ascii="DINPro-Regular" w:hAnsi="DINPro-Regular" w:cs="Times New Roman"/>
                <w:spacing w:val="87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évfolyam</w:t>
            </w:r>
            <w:r w:rsidRPr="002D75F4">
              <w:rPr>
                <w:rFonts w:ascii="DINPro-Regular" w:hAnsi="DINPro-Regular" w:cs="Times New Roman"/>
                <w:spacing w:val="-14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2010/11-12.</w:t>
            </w:r>
            <w:r w:rsidRPr="002D75F4">
              <w:rPr>
                <w:rFonts w:ascii="DINPro-Regular" w:hAnsi="DINPro-Regular" w:cs="Times New Roman"/>
                <w:spacing w:val="-1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59-69.</w:t>
            </w:r>
          </w:p>
          <w:p w:rsidR="002D75F4" w:rsidRPr="002D75F4" w:rsidRDefault="002D75F4" w:rsidP="002D75F4">
            <w:pPr>
              <w:pStyle w:val="Szvegtrzs"/>
              <w:numPr>
                <w:ilvl w:val="0"/>
                <w:numId w:val="23"/>
              </w:numPr>
              <w:tabs>
                <w:tab w:val="left" w:pos="361"/>
              </w:tabs>
              <w:spacing w:after="0"/>
              <w:ind w:right="108"/>
              <w:jc w:val="both"/>
              <w:rPr>
                <w:rFonts w:ascii="DINPro-Regular" w:hAnsi="DINPro-Regular" w:cs="Times New Roman"/>
                <w:spacing w:val="-1"/>
                <w:sz w:val="22"/>
                <w:szCs w:val="22"/>
              </w:rPr>
            </w:pP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Fischer</w:t>
            </w:r>
            <w:r w:rsidRPr="002D75F4">
              <w:rPr>
                <w:rFonts w:ascii="DINPro-Regular" w:hAnsi="DINPro-Regular" w:cs="Times New Roman"/>
                <w:spacing w:val="30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Joschka: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államszövetségtől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föderációig: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Gondolatok</w:t>
            </w:r>
            <w:r w:rsidRPr="002D75F4">
              <w:rPr>
                <w:rFonts w:ascii="DINPro-Regular" w:hAnsi="DINPro-Regular" w:cs="Times New Roman"/>
                <w:spacing w:val="31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az</w:t>
            </w:r>
            <w:r w:rsidRPr="002D75F4">
              <w:rPr>
                <w:rFonts w:ascii="DINPro-Regular" w:hAnsi="DINPro-Regular" w:cs="Times New Roman"/>
                <w:spacing w:val="2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32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integráció</w:t>
            </w:r>
            <w:r w:rsidRPr="002D75F4">
              <w:rPr>
                <w:rFonts w:ascii="DINPro-Regular" w:hAnsi="DINPro-Regular" w:cs="Times New Roman"/>
                <w:spacing w:val="75"/>
                <w:w w:val="99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végcéljáról.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Európai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Szemle,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z w:val="22"/>
                <w:szCs w:val="22"/>
              </w:rPr>
              <w:t>11.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évfolyam</w:t>
            </w:r>
            <w:r w:rsidRPr="002D75F4">
              <w:rPr>
                <w:rFonts w:ascii="DINPro-Regular" w:hAnsi="DINPro-Regular" w:cs="Times New Roman"/>
                <w:spacing w:val="-8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2000/2.</w:t>
            </w:r>
            <w:r w:rsidRPr="002D75F4">
              <w:rPr>
                <w:rFonts w:ascii="DINPro-Regular" w:hAnsi="DINPro-Regular" w:cs="Times New Roman"/>
                <w:spacing w:val="-7"/>
                <w:sz w:val="22"/>
                <w:szCs w:val="22"/>
              </w:rPr>
              <w:t xml:space="preserve"> </w:t>
            </w:r>
            <w:r w:rsidRPr="002D75F4">
              <w:rPr>
                <w:rFonts w:ascii="DINPro-Regular" w:hAnsi="DINPro-Regular" w:cs="Times New Roman"/>
                <w:spacing w:val="-1"/>
                <w:sz w:val="22"/>
                <w:szCs w:val="22"/>
              </w:rPr>
              <w:t>3-14.</w:t>
            </w:r>
          </w:p>
          <w:p w:rsidR="002D75F4" w:rsidRPr="003D75E1" w:rsidRDefault="002D75F4" w:rsidP="002D75F4">
            <w:pPr>
              <w:pStyle w:val="Szvegtrzs"/>
              <w:numPr>
                <w:ilvl w:val="0"/>
                <w:numId w:val="23"/>
              </w:numPr>
              <w:spacing w:after="0"/>
              <w:jc w:val="both"/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</w:pP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  <w:highlight w:val="white"/>
              </w:rPr>
              <w:t>Az EU bővítési politikája</w:t>
            </w:r>
            <w:r w:rsidRPr="002D75F4">
              <w:rPr>
                <w:rFonts w:ascii="DINPro-Regular" w:hAnsi="DINPro-Regular" w:cs="Times New Roman"/>
                <w:bCs/>
                <w:color w:val="000000"/>
                <w:sz w:val="22"/>
                <w:szCs w:val="22"/>
              </w:rPr>
              <w:t xml:space="preserve">: </w:t>
            </w:r>
            <w:hyperlink r:id="rId13">
              <w:r w:rsidRPr="002D75F4">
                <w:rPr>
                  <w:rStyle w:val="Internet-hivatkozs"/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>https://www.consilium.europa.eu/hu/policies/enlargement/</w:t>
              </w:r>
            </w:hyperlink>
            <w:hyperlink>
              <w:r w:rsidRPr="002D75F4">
                <w:rPr>
                  <w:rFonts w:ascii="DINPro-Regular" w:hAnsi="DINPro-Regular" w:cs="Times New Roman"/>
                  <w:bCs/>
                  <w:color w:val="000000"/>
                  <w:sz w:val="22"/>
                  <w:szCs w:val="22"/>
                  <w:highlight w:val="white"/>
                </w:rPr>
                <w:t xml:space="preserve"> </w:t>
              </w:r>
            </w:hyperlink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>Amerikai külpolitika 1945 óta: a birodalomépítés kihívásai</w:t>
            </w:r>
          </w:p>
        </w:tc>
        <w:tc>
          <w:tcPr>
            <w:tcW w:w="4071" w:type="pct"/>
          </w:tcPr>
          <w:p w:rsidR="002D75F4" w:rsidRPr="002D75F4" w:rsidRDefault="002D75F4" w:rsidP="002D75F4">
            <w:pPr>
              <w:rPr>
                <w:rFonts w:ascii="DINPro-Regular" w:hAnsi="DINPro-Regular" w:cs="Times New Roman"/>
              </w:rPr>
            </w:pP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>Mik az amerikai külpolitika alkotmányos és intézményi keretei, valamint ideológiái és hagyományai?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>Mi határozza meg az (amerikai) birodalmiságot és mik az amerikai birodalom egyedi vonásai?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>Az Egyesült Államok és Közép-Kelet Európa kapcsolatai 1945 óta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>Az amerikai külpolitika kihívásai 1989 óta</w:t>
            </w:r>
          </w:p>
          <w:p w:rsidR="002D75F4" w:rsidRPr="002D75F4" w:rsidRDefault="002D75F4" w:rsidP="002D75F4">
            <w:pPr>
              <w:rPr>
                <w:rFonts w:ascii="DINPro-Regular" w:hAnsi="DINPro-Regular" w:cs="Times New Roman"/>
              </w:rPr>
            </w:pPr>
          </w:p>
          <w:p w:rsidR="002D75F4" w:rsidRPr="002D75F4" w:rsidRDefault="002D75F4" w:rsidP="002D75F4">
            <w:pPr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>Szakirodalom:</w:t>
            </w:r>
          </w:p>
          <w:p w:rsidR="002D75F4" w:rsidRPr="002D75F4" w:rsidRDefault="002D75F4" w:rsidP="002D75F4">
            <w:pPr>
              <w:rPr>
                <w:rFonts w:ascii="DINPro-Regular" w:hAnsi="DINPro-Regular" w:cs="Times New Roman"/>
              </w:rPr>
            </w:pP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Brzezinski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, </w:t>
            </w:r>
            <w:proofErr w:type="spellStart"/>
            <w:r w:rsidRPr="002D75F4">
              <w:rPr>
                <w:rFonts w:ascii="DINPro-Regular" w:hAnsi="DINPro-Regular" w:cs="Times New Roman"/>
              </w:rPr>
              <w:t>Zbigniew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: </w:t>
            </w:r>
            <w:r w:rsidRPr="002D75F4">
              <w:rPr>
                <w:rFonts w:ascii="DINPro-Regular" w:hAnsi="DINPro-Regular" w:cs="Times New Roman"/>
                <w:i/>
              </w:rPr>
              <w:t>A nagy sakktábla. Amerikai világelsősége és geopolitikai feladatai.</w:t>
            </w:r>
            <w:r w:rsidRPr="002D75F4">
              <w:rPr>
                <w:rFonts w:ascii="DINPro-Regular" w:hAnsi="DINPro-Regular" w:cs="Times New Roman"/>
              </w:rPr>
              <w:t xml:space="preserve"> 2. kiad. Budapest: Antall József Tudásközpont, 2017. 1. fejezet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Fukuyama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, Francis: </w:t>
            </w:r>
            <w:r w:rsidRPr="002D75F4">
              <w:rPr>
                <w:rFonts w:ascii="DINPro-Regular" w:hAnsi="DINPro-Regular" w:cs="Times New Roman"/>
                <w:i/>
              </w:rPr>
              <w:t>A történelem vége és az utolsó ember.</w:t>
            </w:r>
            <w:r w:rsidRPr="002D75F4">
              <w:rPr>
                <w:rFonts w:ascii="DINPro-Regular" w:hAnsi="DINPro-Regular" w:cs="Times New Roman"/>
              </w:rPr>
              <w:t xml:space="preserve"> 2. kiad. Budapest: Európa, 2022.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lastRenderedPageBreak/>
              <w:t>Gaddis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, John Lewis: </w:t>
            </w:r>
            <w:r w:rsidRPr="002D75F4">
              <w:rPr>
                <w:rFonts w:ascii="DINPro-Regular" w:hAnsi="DINPro-Regular" w:cs="Times New Roman"/>
                <w:i/>
              </w:rPr>
              <w:t>Most már tudjuk. A hidegháború történetének újraértékelése.</w:t>
            </w:r>
            <w:r w:rsidRPr="002D75F4">
              <w:rPr>
                <w:rFonts w:ascii="DINPro-Regular" w:hAnsi="DINPro-Regular" w:cs="Times New Roman"/>
              </w:rPr>
              <w:t xml:space="preserve"> Budapest: Európa Kiadó, 2001. 2. fejezet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Huntington, Samuel P.: </w:t>
            </w:r>
            <w:r w:rsidRPr="002D75F4">
              <w:rPr>
                <w:rFonts w:ascii="DINPro-Regular" w:hAnsi="DINPro-Regular" w:cs="Times New Roman"/>
                <w:i/>
              </w:rPr>
              <w:t>A civilizációk összecsapása és a világrend átalakulása.</w:t>
            </w:r>
            <w:r w:rsidRPr="002D75F4">
              <w:rPr>
                <w:rFonts w:ascii="DINPro-Regular" w:hAnsi="DINPro-Regular" w:cs="Times New Roman"/>
              </w:rPr>
              <w:t xml:space="preserve"> 2. kiad. Budapest: Európa, 2019.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Kennedy, Paul: </w:t>
            </w:r>
            <w:r w:rsidRPr="002D75F4">
              <w:rPr>
                <w:rFonts w:ascii="DINPro-Regular" w:hAnsi="DINPro-Regular" w:cs="Times New Roman"/>
                <w:i/>
              </w:rPr>
              <w:t>A nagyhatalmak tündöklése és bukása.</w:t>
            </w:r>
            <w:r w:rsidRPr="002D75F4">
              <w:rPr>
                <w:rFonts w:ascii="DINPro-Regular" w:hAnsi="DINPro-Regular" w:cs="Times New Roman"/>
              </w:rPr>
              <w:t xml:space="preserve"> Budapest: Akadémiai Kiadó, 1992.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Magyarics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Tamás: </w:t>
            </w:r>
            <w:r w:rsidRPr="002D75F4">
              <w:rPr>
                <w:rFonts w:ascii="DINPro-Regular" w:hAnsi="DINPro-Regular" w:cs="Times New Roman"/>
                <w:i/>
              </w:rPr>
              <w:t>Az Egyesült Államok külpolitikájának története. Mítosz és valóság: érdekek és értékek.</w:t>
            </w:r>
            <w:r w:rsidRPr="002D75F4">
              <w:rPr>
                <w:rFonts w:ascii="DINPro-Regular" w:hAnsi="DINPro-Regular" w:cs="Times New Roman"/>
              </w:rPr>
              <w:t xml:space="preserve"> 2. kiad. Budapest: Antall József Tudásközpont, 2014.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Molnár Tamás: </w:t>
            </w:r>
            <w:r w:rsidRPr="002D75F4">
              <w:rPr>
                <w:rFonts w:ascii="DINPro-Regular" w:hAnsi="DINPro-Regular" w:cs="Times New Roman"/>
                <w:i/>
              </w:rPr>
              <w:t>Európa zárójelben.</w:t>
            </w:r>
            <w:r w:rsidRPr="002D75F4">
              <w:rPr>
                <w:rFonts w:ascii="DINPro-Regular" w:hAnsi="DINPro-Regular" w:cs="Times New Roman"/>
              </w:rPr>
              <w:t xml:space="preserve"> Budapest: Közép- és Kelet-Európai Történelem és Társadalom Kutatásáért Alapítvány, 2022. 7-52.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Peterecz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Zoltán: </w:t>
            </w:r>
            <w:r w:rsidRPr="002D75F4">
              <w:rPr>
                <w:rFonts w:ascii="DINPro-Regular" w:hAnsi="DINPro-Regular" w:cs="Times New Roman"/>
                <w:i/>
              </w:rPr>
              <w:t>A kivételes Amerika. Az amerikai kivételesség történelmi bemutatása.</w:t>
            </w:r>
            <w:r w:rsidRPr="002D75F4">
              <w:rPr>
                <w:rFonts w:ascii="DINPro-Regular" w:hAnsi="DINPro-Regular" w:cs="Times New Roman"/>
              </w:rPr>
              <w:t xml:space="preserve"> Budapest: Gondolat, 2016. Utószó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Todorov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, </w:t>
            </w:r>
            <w:proofErr w:type="spellStart"/>
            <w:r w:rsidRPr="002D75F4">
              <w:rPr>
                <w:rFonts w:ascii="DINPro-Regular" w:hAnsi="DINPro-Regular" w:cs="Times New Roman"/>
              </w:rPr>
              <w:t>Tzvetan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: </w:t>
            </w:r>
            <w:r w:rsidRPr="002D75F4">
              <w:rPr>
                <w:rFonts w:ascii="DINPro-Regular" w:hAnsi="DINPro-Regular" w:cs="Times New Roman"/>
                <w:i/>
              </w:rPr>
              <w:t>A rossz emlékezete, a jó kísértése: mérlegen a XX. Század.</w:t>
            </w:r>
            <w:r w:rsidRPr="002D75F4">
              <w:rPr>
                <w:rFonts w:ascii="DINPro-Regular" w:hAnsi="DINPro-Regular" w:cs="Times New Roman"/>
              </w:rPr>
              <w:t xml:space="preserve"> Budapest: Napvilág, 2005. 3. fejezet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r w:rsidRPr="002D75F4">
              <w:rPr>
                <w:rFonts w:ascii="DINPro-Regular" w:hAnsi="DINPro-Regular" w:cs="Times New Roman"/>
              </w:rPr>
              <w:t xml:space="preserve">Rubicon 2019/2-3: Hidegháború (Békés Csaba, </w:t>
            </w:r>
            <w:proofErr w:type="spellStart"/>
            <w:r w:rsidRPr="002D75F4">
              <w:rPr>
                <w:rFonts w:ascii="DINPro-Regular" w:hAnsi="DINPro-Regular" w:cs="Times New Roman"/>
              </w:rPr>
              <w:t>Borhi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László és </w:t>
            </w:r>
            <w:proofErr w:type="spellStart"/>
            <w:r w:rsidRPr="002D75F4">
              <w:rPr>
                <w:rFonts w:ascii="DINPro-Regular" w:hAnsi="DINPro-Regular" w:cs="Times New Roman"/>
              </w:rPr>
              <w:t>Glant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Tibor írásai)</w:t>
            </w:r>
          </w:p>
          <w:p w:rsidR="002D75F4" w:rsidRPr="003D75E1" w:rsidRDefault="002D75F4" w:rsidP="002D75F4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DINPro-Regular" w:hAnsi="DINPro-Regular" w:cs="Times New Roman"/>
              </w:rPr>
            </w:pPr>
            <w:proofErr w:type="spellStart"/>
            <w:r w:rsidRPr="002D75F4">
              <w:rPr>
                <w:rFonts w:ascii="DINPro-Regular" w:hAnsi="DINPro-Regular" w:cs="Times New Roman"/>
              </w:rPr>
              <w:t>Dower</w:t>
            </w:r>
            <w:proofErr w:type="spellEnd"/>
            <w:r w:rsidRPr="002D75F4">
              <w:rPr>
                <w:rFonts w:ascii="DINPro-Regular" w:hAnsi="DINPro-Regular" w:cs="Times New Roman"/>
              </w:rPr>
              <w:t>, John W</w:t>
            </w:r>
            <w:proofErr w:type="gramStart"/>
            <w:r w:rsidRPr="002D75F4">
              <w:rPr>
                <w:rFonts w:ascii="DINPro-Regular" w:hAnsi="DINPro-Regular" w:cs="Times New Roman"/>
              </w:rPr>
              <w:t>.:</w:t>
            </w:r>
            <w:proofErr w:type="gramEnd"/>
            <w:r w:rsidRPr="002D75F4">
              <w:rPr>
                <w:rFonts w:ascii="DINPro-Regular" w:hAnsi="DINPro-Regular" w:cs="Times New Roman"/>
              </w:rPr>
              <w:t xml:space="preserve"> </w:t>
            </w:r>
            <w:r w:rsidRPr="002D75F4">
              <w:rPr>
                <w:rFonts w:ascii="DINPro-Regular" w:hAnsi="DINPro-Regular" w:cs="Times New Roman"/>
                <w:i/>
              </w:rPr>
              <w:t xml:space="preserve">The </w:t>
            </w:r>
            <w:proofErr w:type="spellStart"/>
            <w:r w:rsidRPr="002D75F4">
              <w:rPr>
                <w:rFonts w:ascii="DINPro-Regular" w:hAnsi="DINPro-Regular" w:cs="Times New Roman"/>
                <w:i/>
              </w:rPr>
              <w:t>Violent</w:t>
            </w:r>
            <w:proofErr w:type="spellEnd"/>
            <w:r w:rsidRPr="002D75F4">
              <w:rPr>
                <w:rFonts w:ascii="DINPro-Regular" w:hAnsi="DINPro-Regular" w:cs="Times New Roman"/>
                <w:i/>
              </w:rPr>
              <w:t xml:space="preserve"> American </w:t>
            </w:r>
            <w:proofErr w:type="spellStart"/>
            <w:r w:rsidRPr="002D75F4">
              <w:rPr>
                <w:rFonts w:ascii="DINPro-Regular" w:hAnsi="DINPro-Regular" w:cs="Times New Roman"/>
                <w:i/>
              </w:rPr>
              <w:t>Century</w:t>
            </w:r>
            <w:proofErr w:type="spellEnd"/>
            <w:r w:rsidRPr="002D75F4">
              <w:rPr>
                <w:rFonts w:ascii="DINPro-Regular" w:hAnsi="DINPro-Regular" w:cs="Times New Roman"/>
                <w:i/>
              </w:rPr>
              <w:t xml:space="preserve">. </w:t>
            </w:r>
            <w:proofErr w:type="spellStart"/>
            <w:r w:rsidRPr="002D75F4">
              <w:rPr>
                <w:rFonts w:ascii="DINPro-Regular" w:hAnsi="DINPro-Regular" w:cs="Times New Roman"/>
                <w:i/>
              </w:rPr>
              <w:t>War</w:t>
            </w:r>
            <w:proofErr w:type="spellEnd"/>
            <w:r w:rsidRPr="002D75F4">
              <w:rPr>
                <w:rFonts w:ascii="DINPro-Regular" w:hAnsi="DINPro-Regular" w:cs="Times New Roman"/>
                <w:i/>
              </w:rPr>
              <w:t xml:space="preserve"> and Terror </w:t>
            </w:r>
            <w:proofErr w:type="spellStart"/>
            <w:r w:rsidRPr="002D75F4">
              <w:rPr>
                <w:rFonts w:ascii="DINPro-Regular" w:hAnsi="DINPro-Regular" w:cs="Times New Roman"/>
                <w:i/>
              </w:rPr>
              <w:t>Since</w:t>
            </w:r>
            <w:proofErr w:type="spellEnd"/>
            <w:r w:rsidRPr="002D75F4">
              <w:rPr>
                <w:rFonts w:ascii="DINPro-Regular" w:hAnsi="DINPro-Regular" w:cs="Times New Roman"/>
                <w:i/>
              </w:rPr>
              <w:t xml:space="preserve"> World </w:t>
            </w:r>
            <w:proofErr w:type="spellStart"/>
            <w:r w:rsidRPr="002D75F4">
              <w:rPr>
                <w:rFonts w:ascii="DINPro-Regular" w:hAnsi="DINPro-Regular" w:cs="Times New Roman"/>
                <w:i/>
              </w:rPr>
              <w:t>War</w:t>
            </w:r>
            <w:proofErr w:type="spellEnd"/>
            <w:r w:rsidRPr="002D75F4">
              <w:rPr>
                <w:rFonts w:ascii="DINPro-Regular" w:hAnsi="DINPro-Regular" w:cs="Times New Roman"/>
                <w:i/>
              </w:rPr>
              <w:t xml:space="preserve"> II. </w:t>
            </w:r>
            <w:r w:rsidRPr="002D75F4">
              <w:rPr>
                <w:rFonts w:ascii="DINPro-Regular" w:hAnsi="DINPro-Regular" w:cs="Times New Roman"/>
              </w:rPr>
              <w:t xml:space="preserve">Chicago: </w:t>
            </w:r>
            <w:proofErr w:type="spellStart"/>
            <w:r w:rsidRPr="002D75F4">
              <w:rPr>
                <w:rFonts w:ascii="DINPro-Regular" w:hAnsi="DINPro-Regular" w:cs="Times New Roman"/>
              </w:rPr>
              <w:t>Haymarket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</w:rPr>
              <w:t>Books</w:t>
            </w:r>
            <w:proofErr w:type="spellEnd"/>
            <w:r w:rsidRPr="002D75F4">
              <w:rPr>
                <w:rFonts w:ascii="DINPro-Regular" w:hAnsi="DINPro-Regular" w:cs="Times New Roman"/>
              </w:rPr>
              <w:t xml:space="preserve">, 2017. ajánlott </w:t>
            </w:r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 xml:space="preserve">Magyarország külpolitikája a 20. században </w:t>
            </w:r>
          </w:p>
        </w:tc>
        <w:tc>
          <w:tcPr>
            <w:tcW w:w="4071" w:type="pct"/>
          </w:tcPr>
          <w:p w:rsidR="002D75F4" w:rsidRPr="002D75F4" w:rsidRDefault="002D75F4" w:rsidP="002D75F4">
            <w:p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</w:p>
          <w:p w:rsidR="002D75F4" w:rsidRPr="002D75F4" w:rsidRDefault="002D75F4" w:rsidP="002D75F4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Az önálló magyar külpolitika kialakulása és mozgástere az első világháború után (1918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</w:t>
            </w: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1929)</w:t>
            </w:r>
          </w:p>
          <w:p w:rsidR="002D75F4" w:rsidRPr="002D75F4" w:rsidRDefault="002D75F4" w:rsidP="002D75F4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Magyar külpolitika az 1930-as években és a második világháború idején (1930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1945)</w:t>
            </w:r>
          </w:p>
          <w:p w:rsidR="002D75F4" w:rsidRPr="002D75F4" w:rsidRDefault="002D75F4" w:rsidP="002D75F4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A Rákosi-korszak külpolitikája és az 1956-os forradalom nemzetközi környezete</w:t>
            </w:r>
          </w:p>
          <w:p w:rsidR="002D75F4" w:rsidRDefault="002D75F4" w:rsidP="002D75F4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A Kádár-korszak külpolitikája</w:t>
            </w:r>
          </w:p>
          <w:p w:rsidR="003D75E1" w:rsidRPr="002D75F4" w:rsidRDefault="003D75E1" w:rsidP="003D75E1">
            <w:pPr>
              <w:shd w:val="clear" w:color="auto" w:fill="FFFFFF"/>
              <w:ind w:left="720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</w:p>
          <w:p w:rsidR="002D75F4" w:rsidRPr="002D75F4" w:rsidRDefault="002D75F4" w:rsidP="002D75F4">
            <w:p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Szakirodalom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Pritz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 Pál: A magyar külügyi szolgálat története az első polgári korszakban.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In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Uő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: Az a "rövid" 20. század. Magyar Történelmi Társulat, Budapest, 2005. 67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–114. Online: </w:t>
            </w:r>
            <w:hyperlink r:id="rId14" w:tgtFrame="_blank" w:history="1">
              <w:r w:rsidRPr="002D75F4">
                <w:rPr>
                  <w:rFonts w:ascii="DINPro-Regular" w:eastAsia="Times New Roman" w:hAnsi="DINPro-Regular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hu-HU"/>
                </w:rPr>
                <w:t>https://mek.oszk.hu/05600/05648/05648.pdf</w:t>
              </w:r>
            </w:hyperlink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Zeidler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Miklós: A revíziós gondolat. Osiris Kiadó, Budapest, 2001. 15–87.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Kerepeszki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Róbert: Darányi Kálmán – Pályakép, korrajz, személyiség. Kronosz Kiadó, Pécs, 2018. 156–175.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Pritz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Pál: Döntési folyamatok a magyar külpolitikában 1919–1944.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In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: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Uő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: Magyar diplomácia a két háború között. Magyar Történelmi Társulat, Budapest, 1995. 225–233. 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Romsics Ignác: Magyarország története a XX. században. Osiris Kiadó, Budapest, 2004. 235–270.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Zeidler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Miklós: A revíziós gondolat. Osiris Kiadó, Budapest, 2001. 208–240.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Gyarmati György: 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A Rákosi-korszak - Rendszerváltó fordulatok évtizede Magyarországon, 1945–1956. ÁBTL – Rubicon, Budapest, 2013. 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Romsics Ignác: Magyarország története a XX. században. Osiris Kiadó, Budapest, 2004. 274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–278, 297–305, </w:t>
            </w: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385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–397.</w:t>
            </w:r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lastRenderedPageBreak/>
              <w:t xml:space="preserve">Vida István: Magyarország nemzetközi helyzete a második világháborút követő években.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In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: 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Magyarország helye a 20. századi Európában. Szerk. Sipos Balázs,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Zeidler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Miklós,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Pritz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Pál. Magyar Történelmi Társulat, Budapest, 2002. 107–122. Online: </w:t>
            </w:r>
            <w:hyperlink r:id="rId15" w:tgtFrame="_blank" w:history="1">
              <w:r w:rsidRPr="002D75F4">
                <w:rPr>
                  <w:rFonts w:ascii="DINPro-Regular" w:eastAsia="Times New Roman" w:hAnsi="DINPro-Regular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hu-HU"/>
                </w:rPr>
                <w:t>https://mek.oszk.hu/05300/05398/05398.pdf</w:t>
              </w:r>
            </w:hyperlink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Békés Csaba: Magyar külpolitika a bipoláris világban, 1945–1991. Külügyi Szemle, 2011. 4. sz. 95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</w:t>
            </w: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127. Online: </w:t>
            </w:r>
            <w:hyperlink r:id="rId16" w:tgtFrame="_blank" w:history="1">
              <w:r w:rsidRPr="002D75F4">
                <w:rPr>
                  <w:rFonts w:ascii="DINPro-Regular" w:eastAsia="Times New Roman" w:hAnsi="DINPro-Regular" w:cs="Times New Roman"/>
                  <w:color w:val="0000FF"/>
                  <w:u w:val="single"/>
                  <w:bdr w:val="none" w:sz="0" w:space="0" w:color="auto" w:frame="1"/>
                  <w:lang w:eastAsia="hu-HU"/>
                </w:rPr>
                <w:t>http://www.grotius.hu/doc/pub/TCTJHI/2012_147_bekes_csaba_magyar_kulpolitika_a_bipolaris_vilagban.pdf</w:t>
              </w:r>
            </w:hyperlink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Földes György: Kádár János külpolitikai nézetei (1957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–1967)</w:t>
            </w: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In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: Magyarország helye a 20. századi Európában. Szerk. Sipos Balázs,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Zeidler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 Miklós, </w:t>
            </w:r>
            <w:proofErr w:type="spellStart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Pritz</w:t>
            </w:r>
            <w:proofErr w:type="spellEnd"/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 Pál. Magyar Történelmi Társulat, Budapest, 2002. 135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–146. Online: </w:t>
            </w:r>
            <w:hyperlink r:id="rId17" w:tgtFrame="_blank" w:history="1">
              <w:r w:rsidRPr="002D75F4">
                <w:rPr>
                  <w:rFonts w:ascii="DINPro-Regular" w:eastAsia="Times New Roman" w:hAnsi="DINPro-Regular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hu-HU"/>
                </w:rPr>
                <w:t>https://mek.oszk.hu/05300/05398/05398.pdf</w:t>
              </w:r>
            </w:hyperlink>
          </w:p>
          <w:p w:rsidR="002D75F4" w:rsidRPr="002D75F4" w:rsidRDefault="002D75F4" w:rsidP="002D75F4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>Romsics Ignác: Magyarország története a XX. században. Osiris Kiadó, Budapest, 2004. 512</w:t>
            </w:r>
            <w:r w:rsidRPr="002D75F4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–536</w:t>
            </w:r>
            <w:r w:rsidRPr="002D75F4">
              <w:rPr>
                <w:rFonts w:ascii="DINPro-Regular" w:eastAsia="Times New Roman" w:hAnsi="DINPro-Regular" w:cs="Times New Roman"/>
                <w:color w:val="000000"/>
                <w:lang w:eastAsia="hu-HU"/>
              </w:rPr>
              <w:t xml:space="preserve">. </w:t>
            </w:r>
          </w:p>
        </w:tc>
      </w:tr>
      <w:tr w:rsidR="002D75F4" w:rsidRPr="002D75F4" w:rsidTr="003D75E1">
        <w:trPr>
          <w:trHeight w:val="1134"/>
          <w:jc w:val="center"/>
        </w:trPr>
        <w:tc>
          <w:tcPr>
            <w:tcW w:w="929" w:type="pct"/>
            <w:vAlign w:val="center"/>
          </w:tcPr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>Bevezetés a nemzetközi kapcsolatok történetébe</w:t>
            </w:r>
          </w:p>
          <w:p w:rsidR="002D75F4" w:rsidRPr="002D75F4" w:rsidRDefault="002D75F4" w:rsidP="002D75F4">
            <w:pPr>
              <w:jc w:val="center"/>
              <w:rPr>
                <w:rFonts w:ascii="DINPro-Regular" w:hAnsi="DINPro-Regular" w:cs="Times New Roman"/>
                <w:bCs/>
              </w:rPr>
            </w:pPr>
          </w:p>
        </w:tc>
        <w:tc>
          <w:tcPr>
            <w:tcW w:w="4071" w:type="pct"/>
          </w:tcPr>
          <w:p w:rsidR="002D75F4" w:rsidRPr="002D75F4" w:rsidRDefault="002D75F4" w:rsidP="002D75F4">
            <w:pPr>
              <w:pStyle w:val="Listaszerbekezds"/>
              <w:spacing w:after="0" w:line="240" w:lineRule="auto"/>
              <w:ind w:left="527" w:firstLine="167"/>
              <w:rPr>
                <w:rFonts w:ascii="DINPro-Regular" w:hAnsi="DINPro-Regular" w:cs="Times New Roman"/>
                <w:bCs/>
              </w:rPr>
            </w:pP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firstLine="25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Richelieu és a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raison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d’etat</w:t>
            </w:r>
            <w:proofErr w:type="spellEnd"/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firstLine="25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A Szent Szövetség rendszere és diplomáciája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firstLine="25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A Párizs környéki békék és következményei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ind w:firstLine="25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Diplomácia és nagyhatalmi politika a hidegháború időszakában (1947-1991)</w:t>
            </w:r>
          </w:p>
          <w:p w:rsidR="002D75F4" w:rsidRPr="002D75F4" w:rsidRDefault="002D75F4" w:rsidP="002D75F4">
            <w:pPr>
              <w:pStyle w:val="Listaszerbekezds"/>
              <w:spacing w:after="0" w:line="240" w:lineRule="auto"/>
              <w:ind w:left="360"/>
              <w:rPr>
                <w:rFonts w:ascii="DINPro-Regular" w:hAnsi="DINPro-Regular" w:cs="Times New Roman"/>
                <w:bCs/>
              </w:rPr>
            </w:pPr>
          </w:p>
          <w:p w:rsidR="002D75F4" w:rsidRPr="002D75F4" w:rsidRDefault="002D75F4" w:rsidP="002D75F4">
            <w:pPr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 </w:t>
            </w:r>
            <w:r w:rsidR="003D75E1">
              <w:rPr>
                <w:rFonts w:ascii="DINPro-Regular" w:hAnsi="DINPro-Regular" w:cs="Times New Roman"/>
                <w:bCs/>
              </w:rPr>
              <w:t>Szakirodalom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Diószegi István: A hatalmi politika másfél évszázada. Budapest. 1994. 245-435.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Henry Kissinger: Diplomácia. Budapest. 2009. I. fejezet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Lázár Balázs: A harminc éves háború (1618-1648).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In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>: A kora újkor története. Szerk. Poór János. Budapest. 2009.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proofErr w:type="spellStart"/>
            <w:r w:rsidRPr="002D75F4">
              <w:rPr>
                <w:rFonts w:ascii="DINPro-Regular" w:hAnsi="DINPro-Regular" w:cs="Times New Roman"/>
                <w:bCs/>
              </w:rPr>
              <w:t>Schrek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Katalin: A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raison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d’etat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kialakulása és alkalmazási lehetőségei a 17. század konfliktusaiban. Az erőegyensúlyi rendszer kihívásai.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In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: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Bárány-Attila-Barta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Róbert- Györkös Attila-Pósán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László-Schrek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Katalin- Takács Levente: A nemzetközi kapcsolatok története. Debrecen, 2020. 153-181.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Diószegi István: A hatalmi politika másfél évszázada. Budapest. 1994. 245-435.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Henry Kissinger: Diplomácia. Budapest. 2009. III.-IV. fejezetek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Schrek Katalin: A bécsi kongresszus és az európai rend fenntartása 1914-ig.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In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: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Bárány-Attila-Barta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Róbert- Györkös Attila-Pósán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László-Schrek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Katalin- Takács Levente: A nemzetközi kapcsolatok története. Debrecen, 2020. 182-223.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Ormos Mária-Majoros István: Európa a nemzetközi küzdőtéren. Budapest. 1998. 215-399.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Barta Róbert: A Párizs környéki békerendszer, a Nemzetek Szövetsége és az „erőtlenség egyensúlya”.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In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: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Bárány-Attila-Barta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Róbert- Györkös Attila-Pósán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László-Schrek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Katalin- Takács Levente: A nemzetközi kapcsolatok története. Debrecen, 2020. 236-262.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Henry Kissinger: Diplomácia. Budapest. 2009. VI.-IX. fejezetek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Ormos Mária-Majoros István: Európa a nemzetközi küzdőtéren. Budapest. 1998. 215-399.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Diószegi István: A hatalmi politika másfél évszázada. Budapest. 1994. 245-435.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lastRenderedPageBreak/>
              <w:t xml:space="preserve">Barta Róbert: A hidegháborús szembenállások. 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In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: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Bárány-Attila-Barta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Róbert- Györkös Attila-Pósán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László-Schrek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 xml:space="preserve"> Katalin- Takács Levente: A nemzetközi kapcsolatok története. Debrecen, 2020. 286-307.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Fischer Ferenc: A megosztott világ. Budapest. 1996. 113-337.</w:t>
            </w:r>
          </w:p>
          <w:p w:rsidR="002D75F4" w:rsidRPr="002D75F4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>Henry Kissinger: Diplomácia. Budapest. 2009. X.-XXIV. fejezetek</w:t>
            </w:r>
          </w:p>
          <w:p w:rsidR="002D75F4" w:rsidRPr="003D75E1" w:rsidRDefault="002D75F4" w:rsidP="002D75F4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2D75F4">
              <w:rPr>
                <w:rFonts w:ascii="DINPro-Regular" w:hAnsi="DINPro-Regular" w:cs="Times New Roman"/>
                <w:bCs/>
              </w:rPr>
              <w:t xml:space="preserve">John Lewis </w:t>
            </w:r>
            <w:proofErr w:type="spellStart"/>
            <w:r w:rsidRPr="002D75F4">
              <w:rPr>
                <w:rFonts w:ascii="DINPro-Regular" w:hAnsi="DINPro-Regular" w:cs="Times New Roman"/>
                <w:bCs/>
              </w:rPr>
              <w:t>Gaddis</w:t>
            </w:r>
            <w:proofErr w:type="spellEnd"/>
            <w:r w:rsidRPr="002D75F4">
              <w:rPr>
                <w:rFonts w:ascii="DINPro-Regular" w:hAnsi="DINPro-Regular" w:cs="Times New Roman"/>
                <w:bCs/>
              </w:rPr>
              <w:t>: Most már tudjuk. A hidegháború történetének újraértékelése. Budapest. 2001.</w:t>
            </w:r>
          </w:p>
        </w:tc>
      </w:tr>
    </w:tbl>
    <w:p w:rsidR="00BA2D4A" w:rsidRDefault="00BA2D4A" w:rsidP="00A516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56"/>
        <w:gridCol w:w="11738"/>
      </w:tblGrid>
      <w:tr w:rsidR="00C17BAF" w:rsidRPr="00A516A9" w:rsidTr="003D75E1">
        <w:tc>
          <w:tcPr>
            <w:tcW w:w="5000" w:type="pct"/>
            <w:gridSpan w:val="2"/>
            <w:shd w:val="clear" w:color="auto" w:fill="FFAB0D"/>
          </w:tcPr>
          <w:p w:rsidR="00C17BAF" w:rsidRPr="002D75F4" w:rsidRDefault="00C17BAF" w:rsidP="00974FE9">
            <w:pPr>
              <w:jc w:val="center"/>
              <w:rPr>
                <w:rFonts w:ascii="DINPro-Medium" w:hAnsi="DINPro-Medium" w:cs="Times New Roman"/>
                <w:b/>
                <w:bCs/>
                <w:smallCaps/>
                <w:color w:val="003300"/>
                <w:sz w:val="28"/>
                <w:szCs w:val="28"/>
              </w:rPr>
            </w:pPr>
            <w:r w:rsidRPr="002D75F4">
              <w:rPr>
                <w:rFonts w:ascii="DINPro-Medium" w:hAnsi="DINPro-Medium" w:cs="Times New Roman"/>
                <w:b/>
                <w:bCs/>
                <w:smallCaps/>
                <w:color w:val="003300"/>
                <w:sz w:val="28"/>
                <w:szCs w:val="28"/>
              </w:rPr>
              <w:t>II. csoport</w:t>
            </w:r>
          </w:p>
        </w:tc>
      </w:tr>
      <w:tr w:rsidR="003D75E1" w:rsidRPr="00A516A9" w:rsidTr="003D75E1">
        <w:tc>
          <w:tcPr>
            <w:tcW w:w="806" w:type="pct"/>
            <w:shd w:val="clear" w:color="auto" w:fill="F8F8F8"/>
          </w:tcPr>
          <w:p w:rsidR="00C17BAF" w:rsidRPr="00A516A9" w:rsidRDefault="00C17BAF" w:rsidP="00974FE9">
            <w:pPr>
              <w:jc w:val="center"/>
              <w:rPr>
                <w:rFonts w:ascii="DINPro-Medium" w:hAnsi="DINPro-Medium" w:cs="Times New Roman"/>
                <w:smallCaps/>
                <w:color w:val="003300"/>
              </w:rPr>
            </w:pPr>
            <w:r w:rsidRPr="00A516A9">
              <w:rPr>
                <w:rFonts w:ascii="DINPro-Medium" w:hAnsi="DINPro-Medium" w:cs="Times New Roman"/>
                <w:smallCaps/>
                <w:color w:val="003300"/>
              </w:rPr>
              <w:t>Témakörök</w:t>
            </w:r>
          </w:p>
        </w:tc>
        <w:tc>
          <w:tcPr>
            <w:tcW w:w="4194" w:type="pct"/>
            <w:shd w:val="clear" w:color="auto" w:fill="F8F8F8"/>
          </w:tcPr>
          <w:p w:rsidR="00C17BAF" w:rsidRPr="002D75F4" w:rsidRDefault="00C17BAF" w:rsidP="00974FE9">
            <w:pPr>
              <w:jc w:val="center"/>
              <w:rPr>
                <w:rFonts w:ascii="DINPro-Medium" w:hAnsi="DINPro-Medium" w:cs="Times New Roman"/>
                <w:bCs/>
                <w:smallCaps/>
                <w:color w:val="003300"/>
                <w:sz w:val="28"/>
                <w:szCs w:val="28"/>
              </w:rPr>
            </w:pPr>
            <w:r w:rsidRPr="002D75F4">
              <w:rPr>
                <w:rFonts w:ascii="DINPro-Medium" w:hAnsi="DINPro-Medium" w:cs="Times New Roman"/>
                <w:bCs/>
                <w:smallCaps/>
                <w:color w:val="003300"/>
                <w:sz w:val="28"/>
                <w:szCs w:val="28"/>
              </w:rPr>
              <w:t>Tételek És irodalom</w:t>
            </w:r>
          </w:p>
        </w:tc>
      </w:tr>
      <w:tr w:rsidR="00C17BAF" w:rsidTr="003D75E1">
        <w:tc>
          <w:tcPr>
            <w:tcW w:w="806" w:type="pct"/>
          </w:tcPr>
          <w:p w:rsidR="00C17BAF" w:rsidRPr="00C17BAF" w:rsidRDefault="00C17BAF" w:rsidP="00C17BAF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C17BAF">
              <w:rPr>
                <w:rFonts w:ascii="DINPro-Regular" w:hAnsi="DINPro-Regular" w:cs="Times New Roman"/>
                <w:b/>
                <w:color w:val="000000"/>
              </w:rPr>
              <w:t>Külgazdasági stratégiák</w:t>
            </w:r>
          </w:p>
        </w:tc>
        <w:tc>
          <w:tcPr>
            <w:tcW w:w="4194" w:type="pct"/>
          </w:tcPr>
          <w:p w:rsidR="00C17BAF" w:rsidRPr="00A516A9" w:rsidRDefault="00C17BAF" w:rsidP="00C17BAF">
            <w:pPr>
              <w:pStyle w:val="Listaszerbekezds"/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</w:pP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Külgazdasági stratégiák 1.:  </w:t>
            </w:r>
            <w:r w:rsidRPr="00A516A9">
              <w:rPr>
                <w:rFonts w:ascii="DINPro-Regular" w:eastAsia="Times New Roman" w:hAnsi="DINPro-Regular" w:cs="Times New Roman"/>
                <w:b/>
                <w:color w:val="000000"/>
                <w:bdr w:val="none" w:sz="0" w:space="0" w:color="auto" w:frame="1"/>
              </w:rPr>
              <w:t>Növekedés összetevői, a gazdaságpolitika eszközei a globalizáció korában:</w:t>
            </w: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 tartós gazdasági növekedés szükséges feltételei, az országok közötti fejlettségi és növekedési különbségek fundamentális okai, a globalizáció előnyei és hátrányai, az 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>állam gazdasági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</w:rPr>
              <w:t xml:space="preserve"> folyamatokat szabályozó tevékenységei.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Külgazdasági stratégiák 2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.: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16A9">
              <w:rPr>
                <w:rFonts w:ascii="DINPro-Regular" w:eastAsia="Times New Roman" w:hAnsi="DINPro-Regular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Az exportorientációra alapozott növekedési stratégia:</w:t>
            </w: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szabadkereskedelem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előnyei és hátrányai, az exportorientált gazdasági növekedési modell definíciója, a modell előnyei illetve korlátai, rossz minőségű növekedés. Milyen körülmények esetén lesz a nyersanyag-bőségből gazdasági visszaesést okozó nyersanyag-átok?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Külgazdasági stratégiák 3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.:</w:t>
            </w:r>
            <w:proofErr w:type="gramEnd"/>
            <w:r w:rsidRPr="00A516A9">
              <w:rPr>
                <w:rFonts w:ascii="DINPro-Regular" w:eastAsia="Times New Roman" w:hAnsi="DINPro-Regular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A belső keresletre alapozott növekedési stratégia:</w:t>
            </w: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a belső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kereslet-vezérelte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növekedési modell alapjai, a modell előnyei illetve korlátai, a belső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>kereslet-vezérelte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és az exportorientált növekedési modell összehasonlítása a megvalósíthatóságuk feltételei szerint, kis nyitott gazdaság definíciója, a protekcionizmus előnyei és hátrányai, importhelyettesítő iparosítás.</w:t>
            </w:r>
          </w:p>
          <w:p w:rsidR="00C17BAF" w:rsidRPr="00A516A9" w:rsidRDefault="00C17BAF" w:rsidP="00C17BAF">
            <w:pPr>
              <w:shd w:val="clear" w:color="auto" w:fill="FFFFFF"/>
              <w:ind w:left="720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</w:pPr>
          </w:p>
          <w:p w:rsidR="00C17BAF" w:rsidRPr="003D75E1" w:rsidRDefault="00C17BAF" w:rsidP="003D75E1">
            <w:p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lang w:eastAsia="hu-HU"/>
              </w:rPr>
            </w:pPr>
            <w:r w:rsidRPr="00A516A9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C17BAF" w:rsidRPr="00A516A9" w:rsidRDefault="00C17BAF" w:rsidP="00C17BA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</w:pP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Bod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Péter Ákos: Bevezetés a gazdaságpolitikába. Döntéshozatal válságban és válságok között. Akadémiai Kiadó, 2020</w:t>
            </w:r>
          </w:p>
          <w:p w:rsidR="00C17BAF" w:rsidRPr="00A516A9" w:rsidRDefault="00C17BAF" w:rsidP="00C17BA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Németh András Olivér: A növekedéselmélet fejlődéstörténete I-II. Köz-gazdaság (2017)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Vol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12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No 2 pp. 269-285. és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Vol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12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No 3 pp. 93-109.</w:t>
            </w:r>
          </w:p>
          <w:p w:rsidR="00C17BAF" w:rsidRPr="00A516A9" w:rsidRDefault="00C17BAF" w:rsidP="00C17BA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Kiss Judit: Stratégiaváltás a világgazdaságban - Exportorientáció és/vagy belső keresletre alapozott növekedés. Akadémiai Kiadó, Budapest, 2018</w:t>
            </w:r>
          </w:p>
          <w:p w:rsidR="00C17BAF" w:rsidRPr="00A516A9" w:rsidRDefault="00C17BAF" w:rsidP="00C17BA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</w:pP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Biedermann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Zsuzsánna: A nyersanyag-gazdagság növekedésre gyakorolt hatása: okok, 1. és 2. rész. Afrika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blog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, 2016. Elérhető: https://www.afrikablog.hu/a-nyersanyag-gazdagsag-noveked</w:t>
            </w:r>
            <w:proofErr w:type="gramStart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esre-gyakorolt-negativ-hatasa-okok  és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 xml:space="preserve">  https://www.afrikablog.hu/a-nyersanyag-gazdagsag-novekedesre-gyakorolt-negativ-hatasa-okok-2-resz</w:t>
            </w:r>
          </w:p>
          <w:p w:rsidR="00C17BAF" w:rsidRPr="003D75E1" w:rsidRDefault="00C17BAF" w:rsidP="00C17BA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000000"/>
                <w:bdr w:val="none" w:sz="0" w:space="0" w:color="auto" w:frame="1"/>
                <w:lang w:eastAsia="hu-HU"/>
              </w:rPr>
              <w:t>Kiss Judit: Stratégiaváltás a világgazdaságban - Exportorientáció és/vagy belső keresletre alapozott növekedés. Akadémiai Kiadó, Budapest, 2018</w:t>
            </w:r>
          </w:p>
        </w:tc>
      </w:tr>
      <w:tr w:rsidR="00C17BAF" w:rsidTr="003D75E1">
        <w:tc>
          <w:tcPr>
            <w:tcW w:w="806" w:type="pct"/>
          </w:tcPr>
          <w:p w:rsidR="00C17BAF" w:rsidRPr="002D75F4" w:rsidRDefault="00C17BAF" w:rsidP="002D75F4">
            <w:pPr>
              <w:jc w:val="center"/>
              <w:rPr>
                <w:rFonts w:ascii="DINPro-Regular" w:hAnsi="DINPro-Regular" w:cs="Times New Roman"/>
                <w:b/>
                <w:bCs/>
                <w:color w:val="000000" w:themeColor="text1"/>
                <w:highlight w:val="yellow"/>
              </w:rPr>
            </w:pPr>
            <w:r w:rsidRPr="002D75F4">
              <w:rPr>
                <w:rFonts w:ascii="DINPro-Regular" w:hAnsi="DINPro-Regular" w:cs="Times New Roman"/>
                <w:b/>
                <w:color w:val="000000" w:themeColor="text1"/>
              </w:rPr>
              <w:t>Világgazdaságtan</w:t>
            </w:r>
          </w:p>
        </w:tc>
        <w:tc>
          <w:tcPr>
            <w:tcW w:w="4194" w:type="pct"/>
          </w:tcPr>
          <w:p w:rsidR="00C17BAF" w:rsidRPr="00A516A9" w:rsidRDefault="00C17BAF" w:rsidP="00C17BAF">
            <w:pPr>
              <w:shd w:val="clear" w:color="auto" w:fill="FFFFFF"/>
              <w:ind w:left="720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</w:p>
          <w:p w:rsidR="00C17BAF" w:rsidRPr="00A516A9" w:rsidRDefault="00C17BAF" w:rsidP="00C17BAF">
            <w:pPr>
              <w:numPr>
                <w:ilvl w:val="0"/>
                <w:numId w:val="13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lastRenderedPageBreak/>
              <w:t>A jelenkori gazdasági fejlettségbeli különbségek fontosabb történelmi, intézményi gyökerei</w:t>
            </w:r>
          </w:p>
          <w:p w:rsidR="00C17BAF" w:rsidRPr="00A516A9" w:rsidRDefault="00C17BAF" w:rsidP="00C17BAF">
            <w:pPr>
              <w:numPr>
                <w:ilvl w:val="0"/>
                <w:numId w:val="13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A világgazdaság szempontjából kulcsjelentőségű erőforrások megoszlása, használata, a készletekkel kapcsolatos legfontosabb tendenciák és stratégiák</w:t>
            </w:r>
          </w:p>
          <w:p w:rsidR="00C17BAF" w:rsidRPr="00A516A9" w:rsidRDefault="00C17BAF" w:rsidP="00C17BAF">
            <w:pPr>
              <w:numPr>
                <w:ilvl w:val="0"/>
                <w:numId w:val="13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A népességváltozás világgazdasági hatásai, elméletek és empíria</w:t>
            </w:r>
          </w:p>
          <w:p w:rsidR="00C17BAF" w:rsidRPr="00A516A9" w:rsidRDefault="00C17BAF" w:rsidP="00C17BAF">
            <w:p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 </w:t>
            </w:r>
          </w:p>
          <w:p w:rsidR="00C17BAF" w:rsidRPr="003D75E1" w:rsidRDefault="00C17BAF" w:rsidP="00C17BAF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</w:rPr>
            </w:pPr>
            <w:r w:rsidRPr="00A516A9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Világgazdaságtan (Szerk. Blahó András), Akadémiai Kiadó 2008., ISBN 9789630585682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Csáki György: Nemzetközi gazdaságtan. Napvilág Kiadó 2017., ISBN: 9789633841761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Rubenstein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James (2019): The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Cultural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Landscape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: An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Introduction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to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Human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Geography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Global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Edition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Pearson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, ISBN-13: 978-1292162096 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Warf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Barney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(2019): Human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Geography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– A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Serious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Introduction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2nd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Edition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Cognella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, ISBN: 978-1-5165-2902-5</w:t>
            </w:r>
          </w:p>
          <w:p w:rsidR="00C17BAF" w:rsidRPr="003D75E1" w:rsidRDefault="00C17BAF" w:rsidP="00C17BAF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Stutz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, Frederick P.—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Warf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Barney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(2014): The World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Economy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Pearson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New International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Edition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(6th). ISBN 13: 978-1-292-021</w:t>
            </w:r>
          </w:p>
        </w:tc>
      </w:tr>
      <w:tr w:rsidR="00C17BAF" w:rsidTr="003D75E1">
        <w:tc>
          <w:tcPr>
            <w:tcW w:w="806" w:type="pct"/>
          </w:tcPr>
          <w:p w:rsidR="00C17BAF" w:rsidRPr="002D75F4" w:rsidRDefault="00C17BAF" w:rsidP="002D75F4">
            <w:pPr>
              <w:jc w:val="center"/>
              <w:rPr>
                <w:rFonts w:ascii="DINPro-Regular" w:hAnsi="DINPro-Regular" w:cs="Times New Roman"/>
                <w:b/>
                <w:color w:val="000000"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>Nemzetközi üzleti ismeretek</w:t>
            </w:r>
          </w:p>
          <w:p w:rsidR="00C17BAF" w:rsidRPr="00A516A9" w:rsidRDefault="00C17BAF" w:rsidP="00C17BAF">
            <w:pPr>
              <w:rPr>
                <w:rFonts w:ascii="DINPro-Regular" w:hAnsi="DINPro-Regular" w:cs="Times New Roman"/>
                <w:bCs/>
                <w:highlight w:val="yellow"/>
              </w:rPr>
            </w:pPr>
          </w:p>
        </w:tc>
        <w:tc>
          <w:tcPr>
            <w:tcW w:w="4194" w:type="pct"/>
          </w:tcPr>
          <w:p w:rsidR="00C17BAF" w:rsidRPr="00A516A9" w:rsidRDefault="00C17BAF" w:rsidP="00C17BAF">
            <w:pPr>
              <w:shd w:val="clear" w:color="auto" w:fill="FFFFFF"/>
              <w:ind w:left="720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</w:p>
          <w:p w:rsidR="00C17BAF" w:rsidRPr="00A516A9" w:rsidRDefault="00C17BAF" w:rsidP="00C17BAF">
            <w:pPr>
              <w:numPr>
                <w:ilvl w:val="0"/>
                <w:numId w:val="14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Mutassa be a határon átnyúló üzleti kapcsolatok legfontosabb kockázatait példák segítségével</w:t>
            </w:r>
          </w:p>
          <w:p w:rsidR="00C17BAF" w:rsidRPr="00A516A9" w:rsidRDefault="00C17BAF" w:rsidP="00C17BAF">
            <w:pPr>
              <w:numPr>
                <w:ilvl w:val="0"/>
                <w:numId w:val="14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Ismertesse a kulturális kockázatok kezelésének legfontosabb módszereit, elméletét, gyakorlatát</w:t>
            </w:r>
          </w:p>
          <w:p w:rsidR="00C17BAF" w:rsidRPr="00A516A9" w:rsidRDefault="00C17BAF" w:rsidP="00C17BAF">
            <w:pPr>
              <w:numPr>
                <w:ilvl w:val="0"/>
                <w:numId w:val="14"/>
              </w:num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Ismertesse a regionális integrációk szintjeit, az azokból adódó legfontosabb vállalati kihívásokat és előnyöket</w:t>
            </w:r>
          </w:p>
          <w:p w:rsidR="00C17BAF" w:rsidRPr="00A516A9" w:rsidRDefault="00C17BAF" w:rsidP="00C17BAF">
            <w:pPr>
              <w:shd w:val="clear" w:color="auto" w:fill="FFFFFF"/>
              <w:rPr>
                <w:rFonts w:ascii="DINPro-Regular" w:eastAsia="Times New Roman" w:hAnsi="DINPro-Regular" w:cs="Times New Roman"/>
                <w:color w:val="242424"/>
                <w:lang w:eastAsia="hu-HU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  <w:lang w:eastAsia="hu-HU"/>
              </w:rPr>
              <w:t> </w:t>
            </w:r>
          </w:p>
          <w:p w:rsidR="00C17BAF" w:rsidRPr="003D75E1" w:rsidRDefault="00C17BAF" w:rsidP="003D75E1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</w:rPr>
            </w:pPr>
            <w:r w:rsidRPr="00A516A9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Blahó András, Czakó Erzsébet, Poór József (szerkesztők): Nemzetközi menedzsment, Akadémiai Kiadó, Budapest, 2019, kijelölt részek</w:t>
            </w:r>
          </w:p>
          <w:p w:rsidR="00C17BAF" w:rsidRPr="003D75E1" w:rsidRDefault="00C17BAF" w:rsidP="00C17BAF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DINPro-Regular" w:eastAsia="Times New Roman" w:hAnsi="DINPro-Regular" w:cs="Times New Roman"/>
                <w:color w:val="242424"/>
              </w:rPr>
            </w:pPr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S.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Tamer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Cavusgil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Gary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Knight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John R.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Riesenberger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(2020): International Business: The New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Realities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Global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ed</w:t>
            </w:r>
            <w:proofErr w:type="spellEnd"/>
            <w:proofErr w:type="gram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.,</w:t>
            </w:r>
            <w:proofErr w:type="gram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 5th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edition</w:t>
            </w:r>
            <w:proofErr w:type="spellEnd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 xml:space="preserve">, Boston: </w:t>
            </w:r>
            <w:proofErr w:type="spellStart"/>
            <w:r w:rsidRPr="00A516A9">
              <w:rPr>
                <w:rFonts w:ascii="DINPro-Regular" w:eastAsia="Times New Roman" w:hAnsi="DINPro-Regular" w:cs="Times New Roman"/>
                <w:color w:val="242424"/>
                <w:bdr w:val="none" w:sz="0" w:space="0" w:color="auto" w:frame="1"/>
              </w:rPr>
              <w:t>Pearson</w:t>
            </w:r>
            <w:proofErr w:type="spellEnd"/>
          </w:p>
        </w:tc>
      </w:tr>
      <w:tr w:rsidR="00C17BAF" w:rsidTr="003D75E1">
        <w:tc>
          <w:tcPr>
            <w:tcW w:w="806" w:type="pct"/>
          </w:tcPr>
          <w:p w:rsidR="00C17BAF" w:rsidRPr="002D75F4" w:rsidRDefault="00C17BAF" w:rsidP="002D75F4">
            <w:pPr>
              <w:jc w:val="center"/>
              <w:rPr>
                <w:rFonts w:ascii="DINPro-Regular" w:hAnsi="DINPro-Regular" w:cs="Times New Roman"/>
                <w:b/>
                <w:bCs/>
                <w:highlight w:val="yellow"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t>Nemzetközi gazdasági kapcsolatok joga</w:t>
            </w:r>
          </w:p>
        </w:tc>
        <w:tc>
          <w:tcPr>
            <w:tcW w:w="4194" w:type="pct"/>
          </w:tcPr>
          <w:p w:rsidR="00C17BAF" w:rsidRPr="00A516A9" w:rsidRDefault="00C17BAF" w:rsidP="00C17BAF">
            <w:pPr>
              <w:pStyle w:val="xgmail-msobodytext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bCs/>
                <w:color w:val="000000"/>
                <w:sz w:val="22"/>
                <w:szCs w:val="22"/>
                <w:bdr w:val="none" w:sz="0" w:space="0" w:color="auto" w:frame="1"/>
              </w:rPr>
              <w:t>A nemzetközi gazdasági kapcsolatok jogának legfőbb szervezeti keretei</w:t>
            </w:r>
          </w:p>
          <w:p w:rsidR="00C17BAF" w:rsidRPr="00A516A9" w:rsidRDefault="00C17BAF" w:rsidP="00C17BAF">
            <w:pPr>
              <w:pStyle w:val="xgmail-msobodytext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bCs/>
                <w:color w:val="000000"/>
                <w:sz w:val="22"/>
                <w:szCs w:val="22"/>
                <w:bdr w:val="none" w:sz="0" w:space="0" w:color="auto" w:frame="1"/>
              </w:rPr>
              <w:t>A nemzetközi gazdasági kapcsolatok jogának kialakulása, helye a magyar jogrendszerben és forrásai</w:t>
            </w:r>
          </w:p>
          <w:p w:rsidR="00C17BAF" w:rsidRPr="00A516A9" w:rsidRDefault="00C17BAF" w:rsidP="00C17BAF">
            <w:pPr>
              <w:pStyle w:val="xgmail-msobodytext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bCs/>
                <w:color w:val="242424"/>
                <w:sz w:val="22"/>
                <w:szCs w:val="22"/>
                <w:bdr w:val="none" w:sz="0" w:space="0" w:color="auto" w:frame="1"/>
              </w:rPr>
              <w:t>Az Európai Unió részvétele más nemzetközi szervezetekben, különösen a WTO-ban </w:t>
            </w:r>
          </w:p>
          <w:p w:rsidR="00C17BAF" w:rsidRPr="00A516A9" w:rsidRDefault="00C17BAF" w:rsidP="00C17BAF">
            <w:pPr>
              <w:pStyle w:val="xgmail-msobodytext"/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</w:p>
          <w:p w:rsidR="00C17BAF" w:rsidRPr="003D75E1" w:rsidRDefault="00C17BAF" w:rsidP="003D75E1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</w:rPr>
            </w:pPr>
            <w:r w:rsidRPr="00A516A9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C17BAF" w:rsidRPr="00A516A9" w:rsidRDefault="00C17BAF" w:rsidP="00C17BAF">
            <w:pPr>
              <w:pStyle w:val="xgmail-msobody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color w:val="000000"/>
                <w:sz w:val="22"/>
                <w:szCs w:val="22"/>
                <w:bdr w:val="none" w:sz="0" w:space="0" w:color="auto" w:frame="1"/>
              </w:rPr>
              <w:t>Palásti Gábor: A nemzetközi gazdasági kapcsolatok magánjogát alakító főbb nemzetközi szervezetek</w:t>
            </w:r>
          </w:p>
          <w:p w:rsidR="00C17BAF" w:rsidRPr="00A516A9" w:rsidRDefault="00C17BAF" w:rsidP="00C17BAF">
            <w:pPr>
              <w:pStyle w:val="xgmail-msobody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color w:val="242424"/>
                <w:sz w:val="22"/>
                <w:szCs w:val="22"/>
                <w:bdr w:val="none" w:sz="0" w:space="0" w:color="auto" w:frame="1"/>
              </w:rPr>
              <w:t>A nemzetközi gazdasági kapcsolatok joga Szerző: Szabó Sarolta</w:t>
            </w:r>
          </w:p>
          <w:p w:rsidR="00C17BAF" w:rsidRPr="003D75E1" w:rsidRDefault="00C17BAF" w:rsidP="00C17BAF">
            <w:pPr>
              <w:pStyle w:val="xgmail-msobody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INPro-Regular" w:hAnsi="DINPro-Regular"/>
                <w:color w:val="242424"/>
                <w:sz w:val="22"/>
                <w:szCs w:val="22"/>
              </w:rPr>
            </w:pPr>
            <w:r w:rsidRPr="00A516A9">
              <w:rPr>
                <w:rFonts w:ascii="DINPro-Regular" w:hAnsi="DINPro-Regular"/>
                <w:color w:val="242424"/>
                <w:sz w:val="22"/>
                <w:szCs w:val="22"/>
                <w:bdr w:val="none" w:sz="0" w:space="0" w:color="auto" w:frame="1"/>
              </w:rPr>
              <w:t>Knapp László: Az Európai Unió részvétele más nemzetközi szervezetekben</w:t>
            </w:r>
          </w:p>
        </w:tc>
      </w:tr>
      <w:tr w:rsidR="00C17BAF" w:rsidTr="003D75E1">
        <w:tc>
          <w:tcPr>
            <w:tcW w:w="806" w:type="pct"/>
          </w:tcPr>
          <w:p w:rsidR="00C17BAF" w:rsidRPr="002D75F4" w:rsidRDefault="00C17BAF" w:rsidP="002D75F4">
            <w:pPr>
              <w:jc w:val="center"/>
              <w:rPr>
                <w:rFonts w:ascii="DINPro-Regular" w:hAnsi="DINPro-Regular" w:cs="Times New Roman"/>
                <w:b/>
              </w:rPr>
            </w:pPr>
            <w:r w:rsidRPr="002D75F4">
              <w:rPr>
                <w:rFonts w:ascii="DINPro-Regular" w:hAnsi="DINPro-Regular" w:cs="Times New Roman"/>
                <w:b/>
              </w:rPr>
              <w:t>Nemzetközi közjog</w:t>
            </w:r>
          </w:p>
          <w:p w:rsidR="00C17BAF" w:rsidRPr="00A516A9" w:rsidRDefault="00C17BAF" w:rsidP="00C17BAF">
            <w:pPr>
              <w:rPr>
                <w:rFonts w:ascii="DINPro-Regular" w:hAnsi="DINPro-Regular" w:cs="Times New Roman"/>
                <w:color w:val="000000"/>
              </w:rPr>
            </w:pPr>
          </w:p>
          <w:p w:rsidR="00C17BAF" w:rsidRPr="00A516A9" w:rsidRDefault="00C17BAF" w:rsidP="00C17BAF">
            <w:pPr>
              <w:rPr>
                <w:rFonts w:ascii="DINPro-Regular" w:hAnsi="DINPro-Regular" w:cs="Times New Roman"/>
                <w:bCs/>
              </w:rPr>
            </w:pPr>
          </w:p>
        </w:tc>
        <w:tc>
          <w:tcPr>
            <w:tcW w:w="4194" w:type="pct"/>
          </w:tcPr>
          <w:p w:rsidR="00C17BAF" w:rsidRPr="00A516A9" w:rsidRDefault="00C17BAF" w:rsidP="00C17BAF">
            <w:pPr>
              <w:pStyle w:val="Listaszerbekezds"/>
              <w:spacing w:after="0" w:line="240" w:lineRule="auto"/>
              <w:jc w:val="both"/>
              <w:rPr>
                <w:rFonts w:ascii="DINPro-Regular" w:hAnsi="DINPro-Regular" w:cs="Times New Roman"/>
                <w:b/>
              </w:rPr>
            </w:pP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t>A nemzetközi jog alanyai, forrásai, alapelvei, szerződések joga, bírói és nem bírói vitarendezés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lastRenderedPageBreak/>
              <w:t>A terület és használata a nemzetközi jogban, joghatóság, immunitás, diplomáciai és konzuli jog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t>Az egyén helyzete a nemzetközi jogban és a nemzetközi szervezetek, az erőszak alkalmazásának szabályai</w:t>
            </w:r>
          </w:p>
          <w:p w:rsidR="00C17BAF" w:rsidRPr="00A516A9" w:rsidRDefault="00C17BAF" w:rsidP="00C17BAF">
            <w:pPr>
              <w:pStyle w:val="Listaszerbekezds"/>
              <w:spacing w:after="0" w:line="240" w:lineRule="auto"/>
              <w:jc w:val="both"/>
              <w:rPr>
                <w:rFonts w:ascii="DINPro-Regular" w:hAnsi="DINPro-Regular" w:cs="Times New Roman"/>
                <w:b/>
              </w:rPr>
            </w:pPr>
          </w:p>
          <w:p w:rsidR="00C17BAF" w:rsidRPr="003D75E1" w:rsidRDefault="00C17BAF" w:rsidP="003D75E1">
            <w:pPr>
              <w:shd w:val="clear" w:color="auto" w:fill="FFFFFF"/>
              <w:textAlignment w:val="baseline"/>
              <w:rPr>
                <w:rFonts w:ascii="DINPro-Regular" w:hAnsi="DINPro-Regular" w:cs="Times New Roman"/>
                <w:bCs/>
                <w:color w:val="000000"/>
              </w:rPr>
            </w:pPr>
            <w:r w:rsidRPr="00A516A9">
              <w:rPr>
                <w:rFonts w:ascii="DINPro-Regular" w:hAnsi="DINPro-Regular" w:cs="Times New Roman"/>
                <w:bCs/>
                <w:color w:val="000000"/>
                <w:highlight w:val="white"/>
              </w:rPr>
              <w:t>Szakirodalom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t xml:space="preserve">Nemzetközi jog (szerk. Kende Tamás – Nagy Boldizsár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Sonnevend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Pál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Valki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László), </w:t>
            </w:r>
            <w:proofErr w:type="spellStart"/>
            <w:r w:rsidRPr="00A516A9">
              <w:rPr>
                <w:rFonts w:ascii="DINPro-Regular" w:hAnsi="DINPro-Regular" w:cs="Times New Roman"/>
              </w:rPr>
              <w:t>Wolters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</w:t>
            </w:r>
            <w:proofErr w:type="spellStart"/>
            <w:r w:rsidRPr="00A516A9">
              <w:rPr>
                <w:rFonts w:ascii="DINPro-Regular" w:hAnsi="DINPro-Regular" w:cs="Times New Roman"/>
              </w:rPr>
              <w:t>Kluwer</w:t>
            </w:r>
            <w:proofErr w:type="spellEnd"/>
            <w:r w:rsidRPr="00A516A9">
              <w:rPr>
                <w:rFonts w:ascii="DINPro-Regular" w:hAnsi="DINPro-Regular" w:cs="Times New Roman"/>
              </w:rPr>
              <w:t>, Budapest, 2018. 3, 4, 5, 6, 7, 8, 9, 10, 30, 31, 32. fejezetek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t xml:space="preserve">Nemzetközi jog (szerk. Kende Tamás – Nagy Boldizsár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Sonnevend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Pál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Valki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László), </w:t>
            </w:r>
            <w:proofErr w:type="spellStart"/>
            <w:r w:rsidRPr="00A516A9">
              <w:rPr>
                <w:rFonts w:ascii="DINPro-Regular" w:hAnsi="DINPro-Regular" w:cs="Times New Roman"/>
              </w:rPr>
              <w:t>Wolters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</w:t>
            </w:r>
            <w:proofErr w:type="spellStart"/>
            <w:r w:rsidRPr="00A516A9">
              <w:rPr>
                <w:rFonts w:ascii="DINPro-Regular" w:hAnsi="DINPro-Regular" w:cs="Times New Roman"/>
              </w:rPr>
              <w:t>Kluwer</w:t>
            </w:r>
            <w:proofErr w:type="spellEnd"/>
            <w:r w:rsidRPr="00A516A9">
              <w:rPr>
                <w:rFonts w:ascii="DINPro-Regular" w:hAnsi="DINPro-Regular" w:cs="Times New Roman"/>
              </w:rPr>
              <w:t>, Budapest, 2018. 11, 12, 13, 14, 15, 16, 17, 18, 19, 20. fejezetek</w:t>
            </w:r>
          </w:p>
          <w:p w:rsidR="00C17BAF" w:rsidRPr="003D75E1" w:rsidRDefault="00C17BAF" w:rsidP="00C17BA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DINPro-Regular" w:hAnsi="DINPro-Regular" w:cs="Times New Roman"/>
              </w:rPr>
            </w:pPr>
            <w:r w:rsidRPr="00A516A9">
              <w:rPr>
                <w:rFonts w:ascii="DINPro-Regular" w:hAnsi="DINPro-Regular" w:cs="Times New Roman"/>
              </w:rPr>
              <w:t xml:space="preserve">Nemzetközi jog (szerk. Kende Tamás – Nagy Boldizsár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Sonnevend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Pál – </w:t>
            </w:r>
            <w:proofErr w:type="spellStart"/>
            <w:r w:rsidRPr="00A516A9">
              <w:rPr>
                <w:rFonts w:ascii="DINPro-Regular" w:hAnsi="DINPro-Regular" w:cs="Times New Roman"/>
              </w:rPr>
              <w:t>Valki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László), </w:t>
            </w:r>
            <w:proofErr w:type="spellStart"/>
            <w:r w:rsidRPr="00A516A9">
              <w:rPr>
                <w:rFonts w:ascii="DINPro-Regular" w:hAnsi="DINPro-Regular" w:cs="Times New Roman"/>
              </w:rPr>
              <w:t>Wolters</w:t>
            </w:r>
            <w:proofErr w:type="spellEnd"/>
            <w:r w:rsidRPr="00A516A9">
              <w:rPr>
                <w:rFonts w:ascii="DINPro-Regular" w:hAnsi="DINPro-Regular" w:cs="Times New Roman"/>
              </w:rPr>
              <w:t xml:space="preserve"> </w:t>
            </w:r>
            <w:proofErr w:type="spellStart"/>
            <w:r w:rsidRPr="00A516A9">
              <w:rPr>
                <w:rFonts w:ascii="DINPro-Regular" w:hAnsi="DINPro-Regular" w:cs="Times New Roman"/>
              </w:rPr>
              <w:t>Kluwer</w:t>
            </w:r>
            <w:proofErr w:type="spellEnd"/>
            <w:r w:rsidRPr="00A516A9">
              <w:rPr>
                <w:rFonts w:ascii="DINPro-Regular" w:hAnsi="DINPro-Regular" w:cs="Times New Roman"/>
              </w:rPr>
              <w:t>, Budapest, 2018. 21, 22, 23, 24, 25, 26, 27, 28, 33, 34, 35, 36, 37. fejezetek</w:t>
            </w:r>
          </w:p>
        </w:tc>
      </w:tr>
      <w:tr w:rsidR="00C17BAF" w:rsidTr="003D75E1">
        <w:tc>
          <w:tcPr>
            <w:tcW w:w="806" w:type="pct"/>
          </w:tcPr>
          <w:p w:rsidR="00C17BAF" w:rsidRPr="002D75F4" w:rsidRDefault="00C17BAF" w:rsidP="002D75F4">
            <w:pPr>
              <w:jc w:val="center"/>
              <w:rPr>
                <w:rFonts w:ascii="DINPro-Regular" w:hAnsi="DINPro-Regular" w:cs="Times New Roman"/>
                <w:b/>
                <w:bCs/>
              </w:rPr>
            </w:pPr>
            <w:r w:rsidRPr="002D75F4">
              <w:rPr>
                <w:rFonts w:ascii="DINPro-Regular" w:hAnsi="DINPro-Regular" w:cs="Times New Roman"/>
                <w:b/>
                <w:color w:val="000000"/>
              </w:rPr>
              <w:lastRenderedPageBreak/>
              <w:t>Jogi alaptan</w:t>
            </w:r>
          </w:p>
        </w:tc>
        <w:tc>
          <w:tcPr>
            <w:tcW w:w="4194" w:type="pct"/>
          </w:tcPr>
          <w:p w:rsidR="00C17BAF" w:rsidRPr="00A516A9" w:rsidRDefault="00C17BAF" w:rsidP="00C17BA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A516A9">
              <w:rPr>
                <w:rFonts w:ascii="DINPro-Regular" w:hAnsi="DINPro-Regular" w:cs="Times New Roman"/>
                <w:bCs/>
              </w:rPr>
              <w:t>A jog fogalmi meghatározásának elemei, a jogforrások rendszerezésének tipológiája.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A516A9">
              <w:rPr>
                <w:rFonts w:ascii="DINPro-Regular" w:hAnsi="DINPro-Regular" w:cs="Times New Roman"/>
                <w:bCs/>
              </w:rPr>
              <w:t>Normatani alapfogalmak, a jogi norma szerkezeti elemei.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 w:cs="Times New Roman"/>
                <w:bCs/>
              </w:rPr>
            </w:pPr>
            <w:r w:rsidRPr="00A516A9">
              <w:rPr>
                <w:rFonts w:ascii="DINPro-Regular" w:hAnsi="DINPro-Regular" w:cs="Times New Roman"/>
                <w:bCs/>
              </w:rPr>
              <w:t>A jogrendszer vertikális és horizontális tagozódásának összehasonlítása.</w:t>
            </w:r>
          </w:p>
          <w:p w:rsidR="00C17BAF" w:rsidRPr="00A516A9" w:rsidRDefault="00C17BAF" w:rsidP="00C17BAF">
            <w:pPr>
              <w:rPr>
                <w:rFonts w:ascii="DINPro-Regular" w:hAnsi="DINPro-Regular" w:cs="Times New Roman"/>
                <w:bCs/>
              </w:rPr>
            </w:pPr>
          </w:p>
          <w:p w:rsidR="00C17BAF" w:rsidRPr="00A516A9" w:rsidRDefault="00C17BAF" w:rsidP="00C17BAF">
            <w:pPr>
              <w:rPr>
                <w:rFonts w:ascii="DINPro-Regular" w:hAnsi="DINPro-Regular" w:cs="Times New Roman"/>
                <w:bCs/>
              </w:rPr>
            </w:pPr>
            <w:r w:rsidRPr="00A516A9">
              <w:rPr>
                <w:rFonts w:ascii="DINPro-Regular" w:hAnsi="DINPro-Regular" w:cs="Times New Roman"/>
                <w:bCs/>
              </w:rPr>
              <w:t>Szakirodalom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Bevezetés a jog- és államtudományokba, </w:t>
            </w:r>
            <w:proofErr w:type="spellStart"/>
            <w:r w:rsidRPr="00A516A9">
              <w:rPr>
                <w:rFonts w:ascii="DINPro-Regular" w:hAnsi="DINPro-Regular" w:cs="Times New Roman"/>
                <w:iCs/>
              </w:rPr>
              <w:t>Szerk</w:t>
            </w:r>
            <w:proofErr w:type="spellEnd"/>
            <w:r w:rsidRPr="00A516A9">
              <w:rPr>
                <w:rFonts w:ascii="DINPro-Regular" w:hAnsi="DINPro-Regular" w:cs="Times New Roman"/>
                <w:iCs/>
              </w:rPr>
              <w:t xml:space="preserve">: Szabó Miklós, Bíbor Kiadó, 2006.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63-82.old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  <w:u w:val="single"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Szabó Miklós: Jogi alapfogalmak, Bíbor Kiadó, 2012.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11-29.</w:t>
            </w:r>
            <w:r w:rsidRPr="00A516A9">
              <w:rPr>
                <w:rFonts w:ascii="DINPro-Regular" w:hAnsi="DINPro-Regular" w:cs="Times New Roman"/>
                <w:iCs/>
              </w:rPr>
              <w:t xml:space="preserve">,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79-92. old.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Szilágyi Péter: Jogi alaptan, Osiris Kiadó, 1998.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202-242. old.</w:t>
            </w:r>
            <w:r w:rsidRPr="00A516A9">
              <w:rPr>
                <w:rFonts w:ascii="DINPro-Regular" w:hAnsi="DINPro-Regular" w:cs="Times New Roman"/>
                <w:iCs/>
              </w:rPr>
              <w:t xml:space="preserve"> 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Bevezetés a jog- és államtudományokba, </w:t>
            </w:r>
            <w:proofErr w:type="spellStart"/>
            <w:r w:rsidRPr="00A516A9">
              <w:rPr>
                <w:rFonts w:ascii="DINPro-Regular" w:hAnsi="DINPro-Regular" w:cs="Times New Roman"/>
                <w:iCs/>
              </w:rPr>
              <w:t>Szerk</w:t>
            </w:r>
            <w:proofErr w:type="spellEnd"/>
            <w:r w:rsidRPr="00A516A9">
              <w:rPr>
                <w:rFonts w:ascii="DINPro-Regular" w:hAnsi="DINPro-Regular" w:cs="Times New Roman"/>
                <w:iCs/>
              </w:rPr>
              <w:t xml:space="preserve">: Szabó Miklós, Bíbor Kiadó, 2006.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89-101. old.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Pokol Béla: Jogi alaptan, Rejtjel kiadó, 2000.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59-71. old.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  <w:u w:val="single"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Szilágyi Péter: Jogi alaptan, Osiris Kiadó, 1998.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244-268. old.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  <w:u w:val="single"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Bevezetés a jog- és államtudományokba, </w:t>
            </w:r>
            <w:proofErr w:type="spellStart"/>
            <w:r w:rsidRPr="00A516A9">
              <w:rPr>
                <w:rFonts w:ascii="DINPro-Regular" w:hAnsi="DINPro-Regular" w:cs="Times New Roman"/>
                <w:iCs/>
              </w:rPr>
              <w:t>Szerk</w:t>
            </w:r>
            <w:proofErr w:type="spellEnd"/>
            <w:r w:rsidRPr="00A516A9">
              <w:rPr>
                <w:rFonts w:ascii="DINPro-Regular" w:hAnsi="DINPro-Regular" w:cs="Times New Roman"/>
                <w:iCs/>
              </w:rPr>
              <w:t xml:space="preserve">: Szabó Miklós, Bíbor Kiadó, 2006.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109-131. old.</w:t>
            </w:r>
          </w:p>
          <w:p w:rsidR="00C17BAF" w:rsidRPr="00A516A9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  <w:u w:val="single"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Szabó Miklós: Jogi alapfogalmak, Bíbor Kiadó, 2012.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34-49. old.</w:t>
            </w:r>
          </w:p>
          <w:p w:rsidR="00C17BAF" w:rsidRPr="003D75E1" w:rsidRDefault="00C17BAF" w:rsidP="00C17BAF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DINPro-Regular" w:hAnsi="DINPro-Regular" w:cs="Times New Roman"/>
                <w:iCs/>
                <w:u w:val="single"/>
              </w:rPr>
            </w:pPr>
            <w:r w:rsidRPr="00A516A9">
              <w:rPr>
                <w:rFonts w:ascii="DINPro-Regular" w:hAnsi="DINPro-Regular" w:cs="Times New Roman"/>
                <w:iCs/>
              </w:rPr>
              <w:t xml:space="preserve">Szilágyi Péter: Jogi alaptan, Osiris Kiadó, 1998. </w:t>
            </w:r>
            <w:r w:rsidRPr="00A516A9">
              <w:rPr>
                <w:rFonts w:ascii="DINPro-Regular" w:hAnsi="DINPro-Regular" w:cs="Times New Roman"/>
                <w:iCs/>
                <w:u w:val="single"/>
              </w:rPr>
              <w:t>307-324. old.</w:t>
            </w:r>
          </w:p>
        </w:tc>
      </w:tr>
    </w:tbl>
    <w:p w:rsidR="00C17BAF" w:rsidRPr="00A516A9" w:rsidRDefault="00C17BAF" w:rsidP="00A516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2D4A" w:rsidRPr="00A516A9" w:rsidRDefault="00BA2D4A" w:rsidP="00A516A9">
      <w:pPr>
        <w:spacing w:after="0" w:line="240" w:lineRule="auto"/>
        <w:rPr>
          <w:rFonts w:ascii="Times New Roman" w:hAnsi="Times New Roman" w:cs="Times New Roman"/>
          <w:i/>
        </w:rPr>
      </w:pPr>
    </w:p>
    <w:p w:rsidR="00BA2D4A" w:rsidRPr="00A516A9" w:rsidRDefault="00BA2D4A" w:rsidP="00A516A9">
      <w:pPr>
        <w:spacing w:after="0" w:line="240" w:lineRule="auto"/>
        <w:rPr>
          <w:rFonts w:ascii="Times New Roman" w:hAnsi="Times New Roman" w:cs="Times New Roman"/>
        </w:rPr>
      </w:pPr>
    </w:p>
    <w:p w:rsidR="00BA2D4A" w:rsidRPr="00A516A9" w:rsidRDefault="00BA2D4A" w:rsidP="00A516A9">
      <w:pPr>
        <w:spacing w:after="0" w:line="240" w:lineRule="auto"/>
        <w:rPr>
          <w:rFonts w:ascii="Times New Roman" w:hAnsi="Times New Roman" w:cs="Times New Roman"/>
        </w:rPr>
      </w:pPr>
    </w:p>
    <w:p w:rsidR="00BA2D4A" w:rsidRPr="00A516A9" w:rsidRDefault="00BA2D4A" w:rsidP="00A516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D657E" w:rsidRPr="00A516A9" w:rsidRDefault="000D657E" w:rsidP="00A516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657E" w:rsidRPr="00A516A9" w:rsidSect="00516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021"/>
    <w:multiLevelType w:val="multilevel"/>
    <w:tmpl w:val="2B5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64C0A"/>
    <w:multiLevelType w:val="hybridMultilevel"/>
    <w:tmpl w:val="C20E3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05FC"/>
    <w:multiLevelType w:val="multilevel"/>
    <w:tmpl w:val="848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25440"/>
    <w:multiLevelType w:val="multilevel"/>
    <w:tmpl w:val="780E3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3920"/>
    <w:multiLevelType w:val="hybridMultilevel"/>
    <w:tmpl w:val="87CE5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590A"/>
    <w:multiLevelType w:val="hybridMultilevel"/>
    <w:tmpl w:val="2B723BAE"/>
    <w:lvl w:ilvl="0" w:tplc="378EA1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F5BB9"/>
    <w:multiLevelType w:val="multilevel"/>
    <w:tmpl w:val="848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C0B1A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4234B2"/>
    <w:multiLevelType w:val="multilevel"/>
    <w:tmpl w:val="7892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D2101"/>
    <w:multiLevelType w:val="hybridMultilevel"/>
    <w:tmpl w:val="A7D4F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25D8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12AC8"/>
    <w:multiLevelType w:val="multilevel"/>
    <w:tmpl w:val="F4A0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C4F7B"/>
    <w:multiLevelType w:val="multilevel"/>
    <w:tmpl w:val="848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2D1548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565ED1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E31008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1748D8"/>
    <w:multiLevelType w:val="hybridMultilevel"/>
    <w:tmpl w:val="6A1C3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503"/>
    <w:multiLevelType w:val="multilevel"/>
    <w:tmpl w:val="E79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02758"/>
    <w:multiLevelType w:val="hybridMultilevel"/>
    <w:tmpl w:val="4D16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A2AD5"/>
    <w:multiLevelType w:val="multilevel"/>
    <w:tmpl w:val="AD68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F451A1"/>
    <w:multiLevelType w:val="hybridMultilevel"/>
    <w:tmpl w:val="780E35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F">
      <w:start w:val="1"/>
      <w:numFmt w:val="decimal"/>
      <w:lvlText w:val="%2."/>
      <w:lvlJc w:val="left"/>
      <w:pPr>
        <w:ind w:left="36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D154D"/>
    <w:multiLevelType w:val="hybridMultilevel"/>
    <w:tmpl w:val="D4787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3918"/>
    <w:multiLevelType w:val="multilevel"/>
    <w:tmpl w:val="848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F5B85"/>
    <w:multiLevelType w:val="hybridMultilevel"/>
    <w:tmpl w:val="8B80440C"/>
    <w:lvl w:ilvl="0" w:tplc="D956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4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0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0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0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C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4276D1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46D32"/>
    <w:multiLevelType w:val="hybridMultilevel"/>
    <w:tmpl w:val="A7CE0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C44D3"/>
    <w:multiLevelType w:val="hybridMultilevel"/>
    <w:tmpl w:val="6B0E6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B64C4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906A88"/>
    <w:multiLevelType w:val="multilevel"/>
    <w:tmpl w:val="780E3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E529BE"/>
    <w:multiLevelType w:val="hybridMultilevel"/>
    <w:tmpl w:val="B042409A"/>
    <w:lvl w:ilvl="0" w:tplc="FABE0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31310"/>
    <w:multiLevelType w:val="multilevel"/>
    <w:tmpl w:val="2E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19"/>
  </w:num>
  <w:num w:numId="9">
    <w:abstractNumId w:val="23"/>
  </w:num>
  <w:num w:numId="10">
    <w:abstractNumId w:val="29"/>
  </w:num>
  <w:num w:numId="11">
    <w:abstractNumId w:val="9"/>
  </w:num>
  <w:num w:numId="12">
    <w:abstractNumId w:val="20"/>
  </w:num>
  <w:num w:numId="13">
    <w:abstractNumId w:val="22"/>
  </w:num>
  <w:num w:numId="14">
    <w:abstractNumId w:val="6"/>
  </w:num>
  <w:num w:numId="15">
    <w:abstractNumId w:val="16"/>
  </w:num>
  <w:num w:numId="16">
    <w:abstractNumId w:val="4"/>
  </w:num>
  <w:num w:numId="17">
    <w:abstractNumId w:val="21"/>
  </w:num>
  <w:num w:numId="18">
    <w:abstractNumId w:val="25"/>
  </w:num>
  <w:num w:numId="19">
    <w:abstractNumId w:val="1"/>
  </w:num>
  <w:num w:numId="20">
    <w:abstractNumId w:val="2"/>
  </w:num>
  <w:num w:numId="21">
    <w:abstractNumId w:val="7"/>
  </w:num>
  <w:num w:numId="22">
    <w:abstractNumId w:val="15"/>
  </w:num>
  <w:num w:numId="23">
    <w:abstractNumId w:val="30"/>
  </w:num>
  <w:num w:numId="24">
    <w:abstractNumId w:val="10"/>
  </w:num>
  <w:num w:numId="25">
    <w:abstractNumId w:val="14"/>
  </w:num>
  <w:num w:numId="26">
    <w:abstractNumId w:val="12"/>
  </w:num>
  <w:num w:numId="27">
    <w:abstractNumId w:val="27"/>
  </w:num>
  <w:num w:numId="28">
    <w:abstractNumId w:val="24"/>
  </w:num>
  <w:num w:numId="29">
    <w:abstractNumId w:val="3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E"/>
    <w:rsid w:val="0002060F"/>
    <w:rsid w:val="000D657E"/>
    <w:rsid w:val="00187ED7"/>
    <w:rsid w:val="00200FFF"/>
    <w:rsid w:val="002D75F4"/>
    <w:rsid w:val="00306AF2"/>
    <w:rsid w:val="003D75E1"/>
    <w:rsid w:val="004772F5"/>
    <w:rsid w:val="00516D41"/>
    <w:rsid w:val="00A516A9"/>
    <w:rsid w:val="00B14CD8"/>
    <w:rsid w:val="00BA2D4A"/>
    <w:rsid w:val="00BD3CD4"/>
    <w:rsid w:val="00C17BAF"/>
    <w:rsid w:val="00C663BF"/>
    <w:rsid w:val="00CC2A04"/>
    <w:rsid w:val="00EE449C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7197-176B-49C9-95CE-78A80DD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C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D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BA2D4A"/>
    <w:rPr>
      <w:color w:val="0000FF"/>
      <w:u w:val="single"/>
    </w:rPr>
  </w:style>
  <w:style w:type="table" w:styleId="Rcsostblzat">
    <w:name w:val="Table Grid"/>
    <w:basedOn w:val="Normltblzat"/>
    <w:uiPriority w:val="39"/>
    <w:rsid w:val="00BA2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-hivatkozs">
    <w:name w:val="Internet-hivatkozás"/>
    <w:rsid w:val="00BA2D4A"/>
    <w:rPr>
      <w:color w:val="000080"/>
      <w:u w:val="single"/>
    </w:rPr>
  </w:style>
  <w:style w:type="paragraph" w:styleId="Szvegtrzs">
    <w:name w:val="Body Text"/>
    <w:basedOn w:val="Norml"/>
    <w:link w:val="SzvegtrzsChar"/>
    <w:rsid w:val="00BA2D4A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A2D4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xgmail-msobodytext">
    <w:name w:val="x_gmail-msobodytext"/>
    <w:basedOn w:val="Norml"/>
    <w:rsid w:val="00BA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k.uni-nke.hu/document/akk-copy-uni-nke-hu/az-eu-intezmenyei.original.pdf" TargetMode="External"/><Relationship Id="rId13" Type="http://schemas.openxmlformats.org/officeDocument/2006/relationships/hyperlink" Target="https://www.consilium.europa.eu/hu/policies/enlarge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ean-union.europa.eu/institutions-law-budget/institutions-and-bodies/types-institutions-and-bodies_hu" TargetMode="External"/><Relationship Id="rId12" Type="http://schemas.openxmlformats.org/officeDocument/2006/relationships/hyperlink" Target="https://publicatio.bibl.u-szeged.hu/3325/1/EUINTEGR.pdf" TargetMode="External"/><Relationship Id="rId17" Type="http://schemas.openxmlformats.org/officeDocument/2006/relationships/hyperlink" Target="https://mek.oszk.hu/05300/05398/053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tius.hu/doc/pub/TCTJHI/2012_147_bekes_csaba_magyar_kulpolitika_a_bipolaris_vilagb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kerepo.uni-nke.hu/xmlui/bitstream/handle/123456789/14718/728_ATMA_Az_Europai_Unio_politikai_rendszere_PDF.pdf" TargetMode="External"/><Relationship Id="rId11" Type="http://schemas.openxmlformats.org/officeDocument/2006/relationships/hyperlink" Target="http://isfd-tppa.rkk.hu/doc/palne_svajci_foderalizmus.pdf" TargetMode="External"/><Relationship Id="rId5" Type="http://schemas.openxmlformats.org/officeDocument/2006/relationships/hyperlink" Target="mailto:onadi.sandor@arts.unideb.hu" TargetMode="External"/><Relationship Id="rId15" Type="http://schemas.openxmlformats.org/officeDocument/2006/relationships/hyperlink" Target="https://mek.oszk.hu/05300/05398/05398.pdf" TargetMode="External"/><Relationship Id="rId10" Type="http://schemas.openxmlformats.org/officeDocument/2006/relationships/hyperlink" Target="https://mersz.hu/kengyel-europai-unios-politika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tereader.hu/media/2014/04/AZ_EU_intezmenyi_es_donteshozatali_rendszere.pdf" TargetMode="External"/><Relationship Id="rId14" Type="http://schemas.openxmlformats.org/officeDocument/2006/relationships/hyperlink" Target="https://mek.oszk.hu/05600/05648/0564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2403</Words>
  <Characters>16588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2023-02-24T10:21:00Z</dcterms:created>
  <dcterms:modified xsi:type="dcterms:W3CDTF">2023-03-08T09:15:00Z</dcterms:modified>
</cp:coreProperties>
</file>