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BTLA8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35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OMA</w:t>
        <w:tab/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Auctorolvasás: Horatius I.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ab/>
        <w:tab/>
        <w:tab/>
        <w:tab/>
        <w:t>20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22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/20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23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-I</w:t>
        <w:br/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Csütörtök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 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:00-1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0, Főépület 407/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val="hu" w:eastAsia="hu-HU"/>
        </w:rPr>
        <w:t>E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Kovács István (</w:t>
      </w:r>
      <w:hyperlink r:id="rId2">
        <w:r>
          <w:rPr>
            <w:rFonts w:eastAsia="Times New Roman" w:cs="Times New Roman" w:ascii="Liberation Serif" w:hAnsi="Liberation Serif"/>
            <w:color w:val="auto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</w:r>
    </w:p>
    <w:p>
      <w:pPr>
        <w:pStyle w:val="Szvegtrzs"/>
        <w:widowControl/>
        <w:spacing w:lineRule="auto" w:line="27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eastAsia="Times New Roman" w:cs="Times New Roman"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A szeminárium célja:</w:t>
      </w:r>
    </w:p>
    <w:p>
      <w:pPr>
        <w:pStyle w:val="Szvegtrzs"/>
        <w:widowControl/>
        <w:spacing w:lineRule="auto" w:line="27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eastAsia="Times New Roman" w:cs="Times New Roman" w:ascii="Liberation Serif" w:hAnsi="Liberation Serif"/>
          <w:b w:val="false"/>
          <w:i w:val="false"/>
          <w:iCs/>
          <w:caps w:val="false"/>
          <w:smallCaps w:val="false"/>
          <w:color w:val="auto"/>
          <w:spacing w:val="0"/>
          <w:sz w:val="24"/>
          <w:szCs w:val="24"/>
        </w:rPr>
        <w:t>Bevezetés Horatius ódaköltészetébe különös tekintettel a középiskolai kánonra, megismerni a líraolvasás alapproblémáit; fejleszteni a nyelvtudást és a fordítási készséget, bővíteni a szókincset.</w:t>
      </w:r>
    </w:p>
    <w:p>
      <w:pPr>
        <w:pStyle w:val="Szvegtrzs"/>
        <w:widowControl/>
        <w:ind w:left="0" w:right="0" w:hanging="0"/>
        <w:jc w:val="both"/>
        <w:rPr>
          <w:i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 kurzus tervezett menete:</w:t>
      </w:r>
    </w:p>
    <w:p>
      <w:pPr>
        <w:pStyle w:val="Szvegtrzs"/>
        <w:widowControl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Bevezetés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I.1, III.30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I.2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I.3, I.4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I.5, I.6, I.7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I.9, I.10, I.11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I.22, I. 37, I.38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II.3, II.10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III.1</w:t>
      </w:r>
    </w:p>
    <w:p>
      <w:pPr>
        <w:pStyle w:val="Szvegtrzs"/>
        <w:widowControl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III.9; Epod.7</w:t>
      </w:r>
    </w:p>
    <w:p>
      <w:pPr>
        <w:pStyle w:val="Szvegtrzs"/>
        <w:widowControl/>
        <w:spacing w:before="142" w:after="142"/>
        <w:ind w:left="0" w:right="0" w:hanging="0"/>
        <w:jc w:val="left"/>
        <w:rPr>
          <w:i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r>
    </w:p>
    <w:p>
      <w:pPr>
        <w:pStyle w:val="Szvegtrzs"/>
        <w:widowControl/>
        <w:spacing w:before="142" w:after="142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Oktatási segédanyag: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−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 xml:space="preserve">Quintus Horatius Flaccus. Ódák és epódoszok.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Komm. Borsák I. Bp. 1975. [Auctores Latini XVIII.]</w:t>
        <w:br/>
        <w:t xml:space="preserve">− Borzsák, Stephanus (ed.),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Q. Horati Flacci Opera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Leipzig 1984.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 jegyszerzés feltételei:</w:t>
      </w:r>
    </w:p>
    <w:p>
      <w:pPr>
        <w:pStyle w:val="Szvegtrzs"/>
        <w:widowControl/>
        <w:ind w:left="0" w:right="0" w:hanging="0"/>
        <w:jc w:val="both"/>
        <w:rPr>
          <w:rFonts w:eastAsia="Times New Roman" w:cs="Times New Roman"/>
          <w:b w:val="false"/>
          <w:i w:val="false"/>
          <w:i/>
          <w:iCs/>
          <w:caps w:val="false"/>
          <w:smallCaps w:val="false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A szeminárium látogatásköteles, a hallgató összesen 3 alkalommal hiányozhat. Értékelés órai munka és félév végi szóbeli beszámoló illetve zárthelyi dolgozat alapján. Távoktatás ideje alatt a szeminárium és a beszámoló videokonferencia (Webex) formájában, a dolgozatok pedig teszt formájában valósulnak meg az elearning rendszeren belül.</w:t>
      </w:r>
    </w:p>
    <w:p>
      <w:pPr>
        <w:pStyle w:val="Normal"/>
        <w:spacing w:lineRule="auto" w:line="276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Normal"/>
        <w:spacing w:lineRule="auto" w:line="276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LibreOffice/6.4.7.2$Linux_X86_64 LibreOffice_project/40$Build-2</Application>
  <Pages>1</Pages>
  <Words>145</Words>
  <Characters>914</Characters>
  <CharactersWithSpaces>1033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2022-09-03T22:32:38Z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