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BTLA822OMA</w:t>
        <w:tab/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Auctorolvasás: Ovidius.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ab/>
        <w:tab/>
        <w:tab/>
        <w:t>202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/202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Liberation Serif" w:hAnsi="Liberation Serif"/>
          <w:b/>
          <w:color w:val="auto"/>
          <w:sz w:val="24"/>
          <w:szCs w:val="24"/>
        </w:rPr>
        <w:t>-II</w:t>
        <w:br/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Kedd 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8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:00-1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9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: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5</w:t>
      </w: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 xml:space="preserve">0, Főépület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hu" w:eastAsia="hu-HU" w:bidi="ar-SA"/>
        </w:rPr>
        <w:t>407/A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Kovács István (</w:t>
      </w:r>
      <w:hyperlink r:id="rId2">
        <w:r>
          <w:rPr>
            <w:rFonts w:eastAsia="Times New Roman" w:cs="Times New Roman" w:ascii="Liberation Serif" w:hAnsi="Liberation Serif"/>
            <w:color w:val="auto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Liberation Serif" w:hAnsi="Liberation Serif"/>
          <w:color w:val="auto"/>
          <w:sz w:val="24"/>
          <w:szCs w:val="24"/>
        </w:rPr>
        <w:t>)</w:t>
      </w:r>
    </w:p>
    <w:p>
      <w:pPr>
        <w:pStyle w:val="Normal"/>
        <w:spacing w:lineRule="auto" w:line="276"/>
        <w:rPr>
          <w:rFonts w:ascii="Liberation Serif" w:hAnsi="Liberation Serif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sz w:val="24"/>
          <w:szCs w:val="24"/>
        </w:rPr>
      </w:r>
    </w:p>
    <w:p>
      <w:pPr>
        <w:pStyle w:val="Szvegtrzs"/>
        <w:spacing w:lineRule="auto" w:line="276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eastAsia="Times New Roman" w:cs="Times New Roman"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>A szeminárium célja:</w:t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M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egismerkedni Ovidius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Metamorphoses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é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vel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a római irodalom aranykorának kiemelkedő alkotásá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val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rávilágítani a szövegelemzés kihívásaira, az irodalomtudomány alapvető elméleti kérdéseire; valamint elősegíteni a nyelvi kompetenciák, a fordítási képességek fejlesztését és a szókincs bővülését.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Olvasandó szövegrészletek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1–88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452–567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III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138–252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VI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1–145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VIII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183–259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X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238–297</w:t>
      </w:r>
    </w:p>
    <w:p>
      <w:pPr>
        <w:pStyle w:val="Szvegtrzs"/>
        <w:widowControl/>
        <w:numPr>
          <w:ilvl w:val="0"/>
          <w:numId w:val="3"/>
        </w:numPr>
        <w:spacing w:before="0" w:after="0"/>
        <w:jc w:val="left"/>
        <w:rPr/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XV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>, 871–879</w:t>
      </w:r>
    </w:p>
    <w:p>
      <w:pPr>
        <w:pStyle w:val="Szvegtrzs"/>
        <w:widowControl/>
        <w:numPr>
          <w:ilvl w:val="0"/>
          <w:numId w:val="0"/>
        </w:numPr>
        <w:ind w:left="720" w:hanging="0"/>
        <w:jc w:val="left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</w:r>
    </w:p>
    <w:p>
      <w:pPr>
        <w:pStyle w:val="Szvegtrzs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Használandó szövegkiadás:</w:t>
      </w:r>
    </w:p>
    <w:p>
      <w:pPr>
        <w:pStyle w:val="Szvegtrzs"/>
        <w:widowControl/>
        <w:numPr>
          <w:ilvl w:val="0"/>
          <w:numId w:val="1"/>
        </w:numPr>
        <w:jc w:val="left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Magnus,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H.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(ed.):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Ovidius: Metamorphoses.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Gotha 1892.</w:t>
      </w:r>
    </w:p>
    <w:p>
      <w:pPr>
        <w:pStyle w:val="Szvegtrzs"/>
        <w:widowControl/>
        <w:jc w:val="left"/>
        <w:rPr>
          <w:i/>
          <w:i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Ajánlott további szövegkiadások:</w:t>
      </w:r>
    </w:p>
    <w:p>
      <w:pPr>
        <w:pStyle w:val="Szvegtrzs"/>
        <w:widowControl/>
        <w:numPr>
          <w:ilvl w:val="0"/>
          <w:numId w:val="2"/>
        </w:numPr>
        <w:jc w:val="left"/>
        <w:rPr/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>A</w:t>
      </w:r>
      <w:r>
        <w:rPr>
          <w:rFonts w:eastAsia="Arial" w:cs="Arial"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nderson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, W. S. (ed.):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Ovidius: Metamorphoses.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 Leipzig 1977.</w:t>
      </w:r>
    </w:p>
    <w:p>
      <w:pPr>
        <w:pStyle w:val="Szvegtrzs"/>
        <w:widowControl/>
        <w:numPr>
          <w:ilvl w:val="0"/>
          <w:numId w:val="2"/>
        </w:numPr>
        <w:jc w:val="left"/>
        <w:rPr/>
      </w:pPr>
      <w:r>
        <w:rPr>
          <w:rFonts w:eastAsia="Arial" w:cs="Arial"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Tarrant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, R. J. (rec.):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P. Ovidi Nasonis Metamorphoses.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 Oxonii 2004.</w:t>
      </w:r>
    </w:p>
    <w:p>
      <w:pPr>
        <w:pStyle w:val="Szvegtrzs"/>
        <w:widowControl/>
        <w:numPr>
          <w:ilvl w:val="0"/>
          <w:numId w:val="0"/>
        </w:numPr>
        <w:ind w:left="720" w:hanging="0"/>
        <w:jc w:val="left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Ajánlott olvasmányok:</w:t>
      </w:r>
    </w:p>
    <w:p>
      <w:pPr>
        <w:pStyle w:val="Szvegtrzs"/>
        <w:widowControl/>
        <w:numPr>
          <w:ilvl w:val="0"/>
          <w:numId w:val="4"/>
        </w:numPr>
        <w:jc w:val="left"/>
        <w:rPr>
          <w:i w:val="false"/>
          <w:i w:val="false"/>
          <w:iCs w:val="false"/>
        </w:rPr>
      </w:pPr>
      <w:r>
        <w:rPr>
          <w:rFonts w:eastAsia="Arial" w:cs="Arial"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Adamik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 T.: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Római irodalom az aranykorban.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 Bp., 1994.</w:t>
      </w:r>
    </w:p>
    <w:p>
      <w:pPr>
        <w:pStyle w:val="Szvegtrzs"/>
        <w:widowControl/>
        <w:numPr>
          <w:ilvl w:val="0"/>
          <w:numId w:val="4"/>
        </w:numPr>
        <w:jc w:val="left"/>
        <w:rPr>
          <w:i w:val="false"/>
          <w:i w:val="false"/>
          <w:iCs w:val="false"/>
        </w:rPr>
      </w:pPr>
      <w:r>
        <w:rPr>
          <w:rFonts w:eastAsia="Arial" w:cs="Arial"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Albrecht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, M. v.: </w:t>
      </w:r>
      <w:r>
        <w:rPr>
          <w:rFonts w:ascii="Liberation Serif" w:hAnsi="Liberation Serif"/>
          <w:b w:val="false"/>
          <w:i/>
          <w:iCs/>
          <w:caps w:val="false"/>
          <w:smallCaps w:val="false"/>
          <w:color w:val="auto"/>
          <w:spacing w:val="0"/>
          <w:sz w:val="24"/>
        </w:rPr>
        <w:t>A római irodalom története.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auto"/>
          <w:spacing w:val="0"/>
          <w:sz w:val="24"/>
        </w:rPr>
        <w:t xml:space="preserve"> Ford. Tar I. Bp., 2003–2004.</w:t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/>
      </w:r>
    </w:p>
    <w:p>
      <w:pPr>
        <w:pStyle w:val="Szvegtrzs"/>
        <w:widowControl/>
        <w:ind w:left="0" w:right="0" w:hanging="0"/>
        <w:jc w:val="left"/>
        <w:rPr>
          <w:rFonts w:ascii="Liberation Serif" w:hAnsi="Liberation Serif"/>
          <w:b w:val="false"/>
          <w:b w:val="false"/>
          <w:i/>
          <w:i/>
          <w:caps w:val="false"/>
          <w:smallCaps w:val="false"/>
          <w:color w:val="auto"/>
          <w:spacing w:val="0"/>
          <w:sz w:val="24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auto"/>
          <w:spacing w:val="0"/>
          <w:sz w:val="24"/>
        </w:rPr>
        <w:t>A jegyszerzés feltételei:</w:t>
      </w:r>
    </w:p>
    <w:p>
      <w:pPr>
        <w:pStyle w:val="Szvegtrzs"/>
        <w:widowControl/>
        <w:spacing w:before="0" w:after="140"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A szeminárium látogatásköteles, a hallgató összesen 3 alkalommal hiányozhat. Értékelés órai munka és félév végi szóbeli beszámoló illetve zárthelyi dolgozat alapján. Távoktatás </w:t>
      </w: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2"/>
          <w:lang w:val="hu" w:eastAsia="hu-HU" w:bidi="ar-SA"/>
        </w:rPr>
        <w:t>esetén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a szeminárium és a beszámoló videokonferencia (Webex) formájában, a dolgozatok pedig teszt formájában valósulnak meg az elearning rendszeren belül.</w:t>
      </w:r>
    </w:p>
    <w:sectPr>
      <w:head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7ab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Lfejsll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LibreOffice/6.4.7.2$Linux_X86_64 LibreOffice_project/40$Build-2</Application>
  <Pages>1</Pages>
  <Words>178</Words>
  <Characters>1147</Characters>
  <CharactersWithSpaces>1285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2019-02-13T08:30:00Z</dcterms:created>
  <dc:creator>Windows-felhasználó</dc:creator>
  <dc:description/>
  <dc:language>hu-HU</dc:language>
  <cp:lastModifiedBy/>
  <dcterms:modified xsi:type="dcterms:W3CDTF">2024-02-11T16:58:01Z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