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Tematika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BTTR125OMA – Szakmódszertan II.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Cs. 10:00-11:30, 406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 félév tervezett menete: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1. Témák kiosztása, feladatok ismertetése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2. Forráselemzés a történelem érettségin, esszéírás tanítása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3. Tanulói kiselőadások, értékelés és visszajelzés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Kritikus gondolkodás és problémamegoldás fejlesztése a történelemórákon, drámapedagógia módszerek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Hallgatói gyakorlatok I.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Hallgatói gyakorlatok II.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Hallgatói gyakorlatok III.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Hallgatói gyakorlatok IV.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Hallgatói gyakorlatok V.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Hallgatói gyakorlatok VI.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Hallgatói gyakorlatok VII.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 Hallgatói gyakorlatok VIII.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 Hallgatói gyakorlatok IX.; a félév lezárása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félév során egy mikrotanítás megtartása kötelező, melynek óratervét előzetesen odaadja az oktatónak. Az érdemjegyet ez határozza meg.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Értékelési szempontok: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A tananyag ismerete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A tervezett óraterv logikai egységének a követése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Megszabott időkeret betartása</w:t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 xml:space="preserve">- Előadás, szemléltetés módja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mikrotanítás elégtelen abban az esetben, ha: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a hallgató a tanítandó anyagot nem tanulta meg, felolvassa azt,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a hallgató nem készít óratervet, vagy elmulasztja annak a beadását a mikrotanítás előtt.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 gyakorlatra felkészüléshez ajánlott tankönyvek:</w:t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Száray Miklós (2021): </w:t>
      </w:r>
      <w:r w:rsidDel="00000000" w:rsidR="00000000" w:rsidRPr="00000000">
        <w:rPr>
          <w:i w:val="1"/>
          <w:rtl w:val="0"/>
        </w:rPr>
        <w:t xml:space="preserve">Történelem 10</w:t>
      </w:r>
      <w:r w:rsidDel="00000000" w:rsidR="00000000" w:rsidRPr="00000000">
        <w:rPr>
          <w:rtl w:val="0"/>
        </w:rPr>
        <w:t xml:space="preserve">. Online elérhetőség: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https://www.tankonyvkatalogus.hu/pdf/OH-TOR10TB__teljes.pdf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Illetve a régebbi tankönyvek közül:</w:t>
      </w:r>
    </w:p>
    <w:p w:rsidR="00000000" w:rsidDel="00000000" w:rsidP="00000000" w:rsidRDefault="00000000" w:rsidRPr="00000000" w14:paraId="00000023">
      <w:pPr>
        <w:ind w:left="0" w:firstLine="720"/>
        <w:rPr/>
      </w:pPr>
      <w:r w:rsidDel="00000000" w:rsidR="00000000" w:rsidRPr="00000000">
        <w:rPr>
          <w:rtl w:val="0"/>
        </w:rPr>
        <w:t xml:space="preserve">Csuszó Sándor, Kozma Géza, Lovrity Andrea (2017): </w:t>
      </w:r>
      <w:r w:rsidDel="00000000" w:rsidR="00000000" w:rsidRPr="00000000">
        <w:rPr>
          <w:i w:val="1"/>
          <w:rtl w:val="0"/>
        </w:rPr>
        <w:t xml:space="preserve">Történelem a középiskolák számára 10.</w:t>
      </w:r>
      <w:r w:rsidDel="00000000" w:rsidR="00000000" w:rsidRPr="00000000">
        <w:rPr>
          <w:rtl w:val="0"/>
        </w:rPr>
        <w:t xml:space="preserve"> Szeged: Mozaik Kiadó.</w:t>
      </w:r>
    </w:p>
    <w:p w:rsidR="00000000" w:rsidDel="00000000" w:rsidP="00000000" w:rsidRDefault="00000000" w:rsidRPr="00000000" w14:paraId="00000024">
      <w:pPr>
        <w:ind w:left="0" w:firstLine="720"/>
        <w:rPr/>
      </w:pPr>
      <w:r w:rsidDel="00000000" w:rsidR="00000000" w:rsidRPr="00000000">
        <w:rPr>
          <w:rtl w:val="0"/>
        </w:rPr>
        <w:t xml:space="preserve">Herber Attila, Martos Ida, Moss László, Tisza László (2005): </w:t>
      </w:r>
      <w:r w:rsidDel="00000000" w:rsidR="00000000" w:rsidRPr="00000000">
        <w:rPr>
          <w:i w:val="1"/>
          <w:rtl w:val="0"/>
        </w:rPr>
        <w:t xml:space="preserve">Történelem 4</w:t>
      </w:r>
      <w:r w:rsidDel="00000000" w:rsidR="00000000" w:rsidRPr="00000000">
        <w:rPr>
          <w:rtl w:val="0"/>
        </w:rPr>
        <w:t xml:space="preserve">. Reáltanoda Alapítvány.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Herber Attila, Martos Ida, Moss László, Tisza László (2005): </w:t>
      </w:r>
      <w:r w:rsidDel="00000000" w:rsidR="00000000" w:rsidRPr="00000000">
        <w:rPr>
          <w:i w:val="1"/>
          <w:rtl w:val="0"/>
        </w:rPr>
        <w:t xml:space="preserve">Történelem 5</w:t>
      </w:r>
      <w:r w:rsidDel="00000000" w:rsidR="00000000" w:rsidRPr="00000000">
        <w:rPr>
          <w:rtl w:val="0"/>
        </w:rPr>
        <w:t xml:space="preserve">. Reáltanoda Alapítvány.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Választható gyakorlati témák:</w:t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Egyetemes történelem: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földrajzi felfedezések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korai kapitalizmus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reformáció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“Hitviták tüzében”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brit alkotmányos monarchia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Az Amerikai Egyesült Államok működése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felvilágosodás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francia forradalom és hatása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Liberalizmus, nacionalizmus, konzervativizmus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Magyar történelem: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Az ország három részre szakadása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két magyar állam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török kiűzése és a török kor mérlege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Rákóczi szabadságharc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Magyarország újranépesülése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felvilágosult abszolutizmus reformjai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lay">
    <w:embedRegular w:fontKey="{00000000-0000-0000-0000-000000000000}" r:id="rId1" w:subsetted="0"/>
    <w:embedBold w:fontKey="{00000000-0000-0000-0000-000000000000}" r:id="rId2" w:subsetted="0"/>
  </w:font>
  <w:font w:name="Apt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Aptos" w:cs="Aptos" w:eastAsia="Aptos" w:hAnsi="Aptos"/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" w:default="1">
    <w:name w:val="Normal"/>
    <w:qFormat w:val="1"/>
    <w:rsid w:val="00F32FB6"/>
    <w:rPr>
      <w:rFonts w:ascii="Times New Roman" w:cs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A32B3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A32B3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A32B39"/>
    <w:pPr>
      <w:keepNext w:val="1"/>
      <w:keepLines w:val="1"/>
      <w:spacing w:after="80" w:before="160"/>
      <w:outlineLvl w:val="2"/>
    </w:pPr>
    <w:rPr>
      <w:rFonts w:asciiTheme="minorHAnsi" w:cstheme="majorBidi" w:eastAsiaTheme="majorEastAsia" w:hAnsiTheme="minorHAnsi"/>
      <w:color w:val="0f4761" w:themeColor="accent1" w:themeShade="0000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A32B39"/>
    <w:pPr>
      <w:keepNext w:val="1"/>
      <w:keepLines w:val="1"/>
      <w:spacing w:after="40" w:before="80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A32B39"/>
    <w:pPr>
      <w:keepNext w:val="1"/>
      <w:keepLines w:val="1"/>
      <w:spacing w:after="40" w:before="80"/>
      <w:outlineLvl w:val="4"/>
    </w:pPr>
    <w:rPr>
      <w:rFonts w:asciiTheme="minorHAnsi" w:cstheme="majorBidi" w:eastAsiaTheme="majorEastAsia" w:hAnsiTheme="minorHAnsi"/>
      <w:color w:val="0f4761" w:themeColor="accent1" w:themeShade="0000BF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A32B39"/>
    <w:pPr>
      <w:keepNext w:val="1"/>
      <w:keepLines w:val="1"/>
      <w:spacing w:before="40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A32B39"/>
    <w:pPr>
      <w:keepNext w:val="1"/>
      <w:keepLines w:val="1"/>
      <w:spacing w:before="40"/>
      <w:outlineLvl w:val="6"/>
    </w:pPr>
    <w:rPr>
      <w:rFonts w:asciiTheme="minorHAnsi" w:cstheme="majorBidi" w:eastAsiaTheme="majorEastAsia" w:hAnsiTheme="minorHAnsi"/>
      <w:color w:val="595959" w:themeColor="text1" w:themeTint="0000A6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A32B39"/>
    <w:pPr>
      <w:keepNext w:val="1"/>
      <w:keepLines w:val="1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A32B39"/>
    <w:pPr>
      <w:keepNext w:val="1"/>
      <w:keepLines w:val="1"/>
      <w:outlineLvl w:val="8"/>
    </w:pPr>
    <w:rPr>
      <w:rFonts w:asciiTheme="minorHAnsi" w:cstheme="majorBidi" w:eastAsiaTheme="majorEastAsia" w:hAnsiTheme="minorHAnsi"/>
      <w:color w:val="272727" w:themeColor="text1" w:themeTint="0000D8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A32B3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A32B3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A32B3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A32B39"/>
    <w:rPr>
      <w:rFonts w:cstheme="majorBidi" w:eastAsiaTheme="majorEastAsia"/>
      <w:i w:val="1"/>
      <w:iCs w:val="1"/>
      <w:color w:val="0f4761" w:themeColor="accent1" w:themeShade="0000BF"/>
      <w:sz w:val="24"/>
      <w:szCs w:val="24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A32B39"/>
    <w:rPr>
      <w:rFonts w:cstheme="majorBidi" w:eastAsiaTheme="majorEastAsia"/>
      <w:color w:val="0f4761" w:themeColor="accent1" w:themeShade="0000BF"/>
      <w:sz w:val="24"/>
      <w:szCs w:val="24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A32B39"/>
    <w:rPr>
      <w:rFonts w:cstheme="majorBidi" w:eastAsiaTheme="majorEastAsia"/>
      <w:i w:val="1"/>
      <w:iCs w:val="1"/>
      <w:color w:val="595959" w:themeColor="text1" w:themeTint="0000A6"/>
      <w:sz w:val="24"/>
      <w:szCs w:val="24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A32B39"/>
    <w:rPr>
      <w:rFonts w:cstheme="majorBidi" w:eastAsiaTheme="majorEastAsia"/>
      <w:color w:val="595959" w:themeColor="text1" w:themeTint="0000A6"/>
      <w:sz w:val="24"/>
      <w:szCs w:val="24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A32B39"/>
    <w:rPr>
      <w:rFonts w:cstheme="majorBidi" w:eastAsiaTheme="majorEastAsia"/>
      <w:i w:val="1"/>
      <w:iCs w:val="1"/>
      <w:color w:val="272727" w:themeColor="text1" w:themeTint="0000D8"/>
      <w:sz w:val="24"/>
      <w:szCs w:val="24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A32B39"/>
    <w:rPr>
      <w:rFonts w:cstheme="majorBidi" w:eastAsiaTheme="majorEastAsia"/>
      <w:color w:val="272727" w:themeColor="text1" w:themeTint="0000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A32B3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A32B3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A32B39"/>
    <w:pPr>
      <w:numPr>
        <w:ilvl w:val="1"/>
      </w:numPr>
      <w:spacing w:after="160"/>
    </w:pPr>
    <w:rPr>
      <w:rFonts w:asciiTheme="minorHAnsi" w:cstheme="majorBidi" w:eastAsiaTheme="majorEastAsia" w:hAnsiTheme="minorHAnsi"/>
      <w:color w:val="595959" w:themeColor="text1" w:themeTint="0000A6"/>
      <w:spacing w:val="15"/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sid w:val="00A32B3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 w:val="1"/>
    <w:rsid w:val="00A32B39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A32B39"/>
    <w:rPr>
      <w:rFonts w:ascii="Times New Roman" w:cs="Times New Roman" w:hAnsi="Times New Roman"/>
      <w:i w:val="1"/>
      <w:iCs w:val="1"/>
      <w:color w:val="404040" w:themeColor="text1" w:themeTint="0000BF"/>
      <w:sz w:val="24"/>
      <w:szCs w:val="24"/>
    </w:rPr>
  </w:style>
  <w:style w:type="paragraph" w:styleId="Listaszerbekezds">
    <w:name w:val="List Paragraph"/>
    <w:basedOn w:val="Norml"/>
    <w:uiPriority w:val="34"/>
    <w:qFormat w:val="1"/>
    <w:rsid w:val="00A32B39"/>
    <w:pPr>
      <w:ind w:left="720"/>
      <w:contextualSpacing w:val="1"/>
    </w:pPr>
  </w:style>
  <w:style w:type="character" w:styleId="Erskiemels">
    <w:name w:val="Intense Emphasis"/>
    <w:basedOn w:val="Bekezdsalapbettpusa"/>
    <w:uiPriority w:val="21"/>
    <w:qFormat w:val="1"/>
    <w:rsid w:val="00A32B39"/>
    <w:rPr>
      <w:i w:val="1"/>
      <w:iCs w:val="1"/>
      <w:color w:val="0f4761" w:themeColor="accent1" w:themeShade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A32B3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A32B39"/>
    <w:rPr>
      <w:rFonts w:ascii="Times New Roman" w:cs="Times New Roman" w:hAnsi="Times New Roman"/>
      <w:i w:val="1"/>
      <w:iCs w:val="1"/>
      <w:color w:val="0f4761" w:themeColor="accent1" w:themeShade="0000BF"/>
      <w:sz w:val="24"/>
      <w:szCs w:val="24"/>
    </w:rPr>
  </w:style>
  <w:style w:type="character" w:styleId="Ershivatkozs">
    <w:name w:val="Intense Reference"/>
    <w:basedOn w:val="Bekezdsalapbettpusa"/>
    <w:uiPriority w:val="32"/>
    <w:qFormat w:val="1"/>
    <w:rsid w:val="00A32B39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Aptos" w:cs="Aptos" w:eastAsia="Aptos" w:hAnsi="Aptos"/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ankonyvkatalogus.hu/pdf/OH-TOR10TB__telje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mSuMFF00sksuoV3Wgx6SivcumA==">CgMxLjA4AHIhMXJpRllVVkU2dWs3SzZqOEMxR3M5V25Pc0lFdTZ6cHVX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2024-02-09T16:47:00Z</dcterms:created>
  <dc:creator>Kapi Péter</dc:creator>
</cp:coreProperties>
</file>